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A20952" w14:textId="77777777" w:rsidR="00986DE4" w:rsidRPr="002F6289" w:rsidRDefault="009409A3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2F6289">
        <w:rPr>
          <w:rFonts w:ascii="Times New Roman" w:eastAsia="Arial" w:hAnsi="Times New Roman" w:cs="Times New Roman"/>
          <w:b/>
          <w:sz w:val="32"/>
          <w:szCs w:val="32"/>
        </w:rPr>
        <w:t>O ACESSO A MEDICAMENTOS HORMONAIS NO CONTEXTO DA SAÚDE DA POPULAÇÃO TRANS: UM PAPEL DO FARMACÊUTICO</w:t>
      </w:r>
    </w:p>
    <w:p w14:paraId="5DF62A03" w14:textId="77777777" w:rsidR="00986DE4" w:rsidRPr="002F6289" w:rsidRDefault="00986DE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B6A3AF" w14:textId="55B5DEC1" w:rsidR="00986DE4" w:rsidRPr="00E523CE" w:rsidRDefault="00E523CE">
      <w:pPr>
        <w:spacing w:after="0" w:line="360" w:lineRule="auto"/>
        <w:jc w:val="center"/>
        <w:rPr>
          <w:rFonts w:ascii="Times New Roman" w:eastAsia="Arial" w:hAnsi="Times New Roman" w:cs="Times New Roman"/>
          <w:szCs w:val="20"/>
          <w:vertAlign w:val="superscript"/>
        </w:rPr>
      </w:pPr>
      <w:proofErr w:type="spellStart"/>
      <w:r w:rsidRPr="00E523CE">
        <w:rPr>
          <w:rFonts w:ascii="Times New Roman" w:eastAsia="Arial" w:hAnsi="Times New Roman" w:cs="Times New Roman"/>
          <w:szCs w:val="20"/>
        </w:rPr>
        <w:t>Laiane</w:t>
      </w:r>
      <w:proofErr w:type="spellEnd"/>
      <w:r w:rsidRPr="00E523CE">
        <w:rPr>
          <w:rFonts w:ascii="Times New Roman" w:eastAsia="Arial" w:hAnsi="Times New Roman" w:cs="Times New Roman"/>
          <w:szCs w:val="20"/>
        </w:rPr>
        <w:t xml:space="preserve"> Luciane dos Santos</w:t>
      </w:r>
      <w:r>
        <w:rPr>
          <w:rStyle w:val="Refdenotaderodap"/>
          <w:rFonts w:ascii="Times New Roman" w:eastAsia="Arial" w:hAnsi="Times New Roman" w:cs="Times New Roman"/>
          <w:szCs w:val="20"/>
        </w:rPr>
        <w:footnoteReference w:id="1"/>
      </w:r>
      <w:r w:rsidRPr="00E523CE">
        <w:rPr>
          <w:rFonts w:ascii="Times New Roman" w:eastAsia="Arial" w:hAnsi="Times New Roman" w:cs="Times New Roman"/>
          <w:szCs w:val="20"/>
        </w:rPr>
        <w:t>, Danielle da Silva Barreto</w:t>
      </w:r>
      <w:r>
        <w:rPr>
          <w:rStyle w:val="Refdenotaderodap"/>
          <w:rFonts w:ascii="Times New Roman" w:eastAsia="Arial" w:hAnsi="Times New Roman" w:cs="Times New Roman"/>
          <w:szCs w:val="20"/>
        </w:rPr>
        <w:footnoteReference w:id="2"/>
      </w:r>
      <w:r w:rsidRPr="00E523CE">
        <w:rPr>
          <w:rFonts w:ascii="Times New Roman" w:eastAsia="Arial" w:hAnsi="Times New Roman" w:cs="Times New Roman"/>
          <w:szCs w:val="20"/>
        </w:rPr>
        <w:t>, Juliana Vital Domingos Silva</w:t>
      </w:r>
      <w:r>
        <w:rPr>
          <w:rStyle w:val="Refdenotaderodap"/>
          <w:rFonts w:ascii="Times New Roman" w:eastAsia="Arial" w:hAnsi="Times New Roman" w:cs="Times New Roman"/>
          <w:szCs w:val="20"/>
        </w:rPr>
        <w:footnoteReference w:id="3"/>
      </w:r>
      <w:r w:rsidRPr="00E523CE">
        <w:rPr>
          <w:rFonts w:ascii="Times New Roman" w:eastAsia="Arial" w:hAnsi="Times New Roman" w:cs="Times New Roman"/>
          <w:szCs w:val="20"/>
        </w:rPr>
        <w:t xml:space="preserve">, </w:t>
      </w:r>
      <w:proofErr w:type="spellStart"/>
      <w:r w:rsidRPr="00E523CE">
        <w:rPr>
          <w:rFonts w:ascii="Times New Roman" w:eastAsia="Arial" w:hAnsi="Times New Roman" w:cs="Times New Roman"/>
          <w:szCs w:val="20"/>
        </w:rPr>
        <w:t>Dayvid</w:t>
      </w:r>
      <w:proofErr w:type="spellEnd"/>
      <w:r w:rsidRPr="00E523CE">
        <w:rPr>
          <w:rFonts w:ascii="Times New Roman" w:eastAsia="Arial" w:hAnsi="Times New Roman" w:cs="Times New Roman"/>
          <w:szCs w:val="20"/>
        </w:rPr>
        <w:t xml:space="preserve"> Batista da Silva</w:t>
      </w:r>
      <w:r>
        <w:rPr>
          <w:rStyle w:val="Refdenotaderodap"/>
          <w:rFonts w:ascii="Times New Roman" w:eastAsia="Arial" w:hAnsi="Times New Roman" w:cs="Times New Roman"/>
          <w:szCs w:val="20"/>
        </w:rPr>
        <w:footnoteReference w:id="4"/>
      </w:r>
    </w:p>
    <w:p w14:paraId="44B24E4F" w14:textId="77777777" w:rsidR="00986DE4" w:rsidRPr="002F6289" w:rsidRDefault="00986DE4">
      <w:pPr>
        <w:spacing w:after="0" w:line="36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</w:p>
    <w:p w14:paraId="07730F75" w14:textId="77777777" w:rsidR="00986DE4" w:rsidRPr="002F6289" w:rsidRDefault="009409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289">
        <w:rPr>
          <w:rFonts w:ascii="Times New Roman" w:hAnsi="Times New Roman" w:cs="Times New Roman"/>
          <w:b/>
          <w:sz w:val="24"/>
          <w:szCs w:val="24"/>
        </w:rPr>
        <w:t xml:space="preserve">RESUMO </w:t>
      </w:r>
    </w:p>
    <w:p w14:paraId="6424BE6A" w14:textId="636D0CB3" w:rsidR="00986DE4" w:rsidRPr="002F6289" w:rsidRDefault="009409A3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F6289">
        <w:rPr>
          <w:rFonts w:ascii="Times New Roman" w:hAnsi="Times New Roman" w:cs="Times New Roman"/>
          <w:sz w:val="24"/>
          <w:szCs w:val="24"/>
        </w:rPr>
        <w:t xml:space="preserve">O uso de medicamentos também pode ser realizado como adjuvante no processo de </w:t>
      </w:r>
      <w:proofErr w:type="spellStart"/>
      <w:r w:rsidRPr="002F6289">
        <w:rPr>
          <w:rFonts w:ascii="Times New Roman" w:hAnsi="Times New Roman" w:cs="Times New Roman"/>
          <w:sz w:val="24"/>
          <w:szCs w:val="24"/>
        </w:rPr>
        <w:t>transexualização</w:t>
      </w:r>
      <w:proofErr w:type="spellEnd"/>
      <w:r w:rsidRPr="002F6289">
        <w:rPr>
          <w:rFonts w:ascii="Times New Roman" w:hAnsi="Times New Roman" w:cs="Times New Roman"/>
          <w:sz w:val="24"/>
          <w:szCs w:val="24"/>
        </w:rPr>
        <w:t xml:space="preserve"> de homens e mulheres transexuais, que por sua vez necessitam da transformação do seu corpo para estar em harmonia consigo próprio. No entanto, serviços médicos especializados para estes pacientes ainda é muito escarço no Brasil, sobretudo no SUS. Diante da dificuldade de acompanhamento médico no processo de </w:t>
      </w:r>
      <w:proofErr w:type="spellStart"/>
      <w:r w:rsidRPr="002F6289">
        <w:rPr>
          <w:rFonts w:ascii="Times New Roman" w:hAnsi="Times New Roman" w:cs="Times New Roman"/>
          <w:sz w:val="24"/>
          <w:szCs w:val="24"/>
        </w:rPr>
        <w:t>transexualização</w:t>
      </w:r>
      <w:proofErr w:type="spellEnd"/>
      <w:r w:rsidRPr="002F6289">
        <w:rPr>
          <w:rFonts w:ascii="Times New Roman" w:hAnsi="Times New Roman" w:cs="Times New Roman"/>
          <w:sz w:val="24"/>
          <w:szCs w:val="24"/>
        </w:rPr>
        <w:t xml:space="preserve">, essa população busca informação na internet ou em </w:t>
      </w:r>
      <w:r w:rsidR="002F6289" w:rsidRPr="002F6289">
        <w:rPr>
          <w:rFonts w:ascii="Times New Roman" w:hAnsi="Times New Roman" w:cs="Times New Roman"/>
          <w:sz w:val="24"/>
          <w:szCs w:val="24"/>
        </w:rPr>
        <w:t>transexuais que já</w:t>
      </w:r>
      <w:r w:rsidRPr="002F6289">
        <w:rPr>
          <w:rFonts w:ascii="Times New Roman" w:hAnsi="Times New Roman" w:cs="Times New Roman"/>
          <w:sz w:val="24"/>
          <w:szCs w:val="24"/>
        </w:rPr>
        <w:t xml:space="preserve"> fizeram uso de terapias hormonais para este fim sendo dessa forma o tratamento não personalizado e sem acom</w:t>
      </w:r>
      <w:bookmarkStart w:id="0" w:name="_GoBack"/>
      <w:bookmarkEnd w:id="0"/>
      <w:r w:rsidRPr="002F6289">
        <w:rPr>
          <w:rFonts w:ascii="Times New Roman" w:hAnsi="Times New Roman" w:cs="Times New Roman"/>
          <w:sz w:val="24"/>
          <w:szCs w:val="24"/>
        </w:rPr>
        <w:t xml:space="preserve">panhamento do profissional de saúde oferecendo desta forma, sérios riscos a integridade física destes pacientes. </w:t>
      </w:r>
      <w:r w:rsidRPr="002F628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F6289">
        <w:rPr>
          <w:rFonts w:ascii="Times New Roman" w:hAnsi="Times New Roman" w:cs="Times New Roman"/>
          <w:sz w:val="24"/>
          <w:szCs w:val="24"/>
        </w:rPr>
        <w:t>Sendo assim, o</w:t>
      </w:r>
      <w:r w:rsidRPr="002F6289">
        <w:rPr>
          <w:rFonts w:ascii="Times New Roman" w:eastAsia="Arial" w:hAnsi="Times New Roman" w:cs="Times New Roman"/>
          <w:sz w:val="24"/>
          <w:szCs w:val="24"/>
        </w:rPr>
        <w:t xml:space="preserve"> presente trabalho objetivou abordar a importância do profissional farmacêutico na orientação sobre ação terapêutica, fisiológica e riscos à </w:t>
      </w:r>
      <w:r w:rsidR="002F6289" w:rsidRPr="002F6289">
        <w:rPr>
          <w:rFonts w:ascii="Times New Roman" w:eastAsia="Arial" w:hAnsi="Times New Roman" w:cs="Times New Roman"/>
          <w:sz w:val="24"/>
          <w:szCs w:val="24"/>
        </w:rPr>
        <w:t>saúde no</w:t>
      </w:r>
      <w:r w:rsidRPr="002F6289">
        <w:rPr>
          <w:rFonts w:ascii="Times New Roman" w:eastAsia="Arial" w:hAnsi="Times New Roman" w:cs="Times New Roman"/>
          <w:sz w:val="24"/>
          <w:szCs w:val="24"/>
        </w:rPr>
        <w:t xml:space="preserve"> uso </w:t>
      </w:r>
      <w:r w:rsidR="002F6289" w:rsidRPr="002F6289">
        <w:rPr>
          <w:rFonts w:ascii="Times New Roman" w:eastAsia="Arial" w:hAnsi="Times New Roman" w:cs="Times New Roman"/>
          <w:sz w:val="24"/>
          <w:szCs w:val="24"/>
        </w:rPr>
        <w:t>de medicamentos</w:t>
      </w:r>
      <w:r w:rsidRPr="002F6289">
        <w:rPr>
          <w:rFonts w:ascii="Times New Roman" w:eastAsia="Arial" w:hAnsi="Times New Roman" w:cs="Times New Roman"/>
          <w:sz w:val="24"/>
          <w:szCs w:val="24"/>
        </w:rPr>
        <w:t xml:space="preserve"> hormonais por pessoas em processo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transexualizador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. Foi realizada uma revisão bibliográfica narrativa da literatura, para tipo de estudo retrospectivo descritivo foram utilizados artigos científicos descritos nas bases de dados SCIENCE DIRECT, SCIELO, PUBMED, PERIÓDICO CAPES e LILACS. A utilização de artigos no período entre 2012 e 2022, nos idiomas português e inglês. A partir da análise de 13 artigos, foi possível realizar um levantamento dos principais hormônios utilizados e observar que o acesso de forma acompanhada das pessoas transexuais tem diversos desafios como por exemplo a falta de uma rede de apoio qualificada, a falta profissionais multidisciplinares, preconceito e discriminação nos serviços de saúde fazendo com que o uso da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hormônioterapia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aconteça de forma insegura e irracional, sendo assim foi visto que a participação farmacêutica pode ser eficaz no processo de orientação e avaliação da farmacoterapia afim de evitar problemas relacionados ao uso de medicamentos bem como o uso racional do medicamento que está atrelado a profissão farmacêutica.</w:t>
      </w:r>
    </w:p>
    <w:p w14:paraId="70A9CA36" w14:textId="77777777" w:rsidR="00986DE4" w:rsidRPr="002F6289" w:rsidRDefault="009409A3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F6289">
        <w:rPr>
          <w:rFonts w:ascii="Times New Roman" w:eastAsia="Arial" w:hAnsi="Times New Roman" w:cs="Times New Roman"/>
          <w:b/>
          <w:sz w:val="24"/>
          <w:szCs w:val="24"/>
        </w:rPr>
        <w:t>Palavras Chaves</w:t>
      </w:r>
      <w:r w:rsidRPr="002F6289">
        <w:rPr>
          <w:rFonts w:ascii="Times New Roman" w:eastAsia="Arial" w:hAnsi="Times New Roman" w:cs="Times New Roman"/>
          <w:sz w:val="24"/>
          <w:szCs w:val="24"/>
        </w:rPr>
        <w:t>: Hormônios; Transgêneros; Atenção farmacêutica.</w:t>
      </w:r>
    </w:p>
    <w:p w14:paraId="3CBF746D" w14:textId="77777777" w:rsidR="00986DE4" w:rsidRPr="002F6289" w:rsidRDefault="00986DE4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14:paraId="17E2485A" w14:textId="77777777" w:rsidR="00986DE4" w:rsidRPr="002F6289" w:rsidRDefault="00986DE4">
      <w:pPr>
        <w:spacing w:after="0"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5EFE547F" w14:textId="77777777" w:rsidR="00986DE4" w:rsidRPr="002F6289" w:rsidRDefault="00986DE4">
      <w:pPr>
        <w:spacing w:after="0"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5DFC87FE" w14:textId="77777777" w:rsidR="00986DE4" w:rsidRPr="002F6289" w:rsidRDefault="00986DE4">
      <w:pPr>
        <w:spacing w:after="0"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3BF9FEC7" w14:textId="77777777" w:rsidR="00986DE4" w:rsidRPr="002F6289" w:rsidRDefault="00986DE4">
      <w:pPr>
        <w:spacing w:after="0"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00AFFA87" w14:textId="77777777" w:rsidR="00986DE4" w:rsidRPr="002F6289" w:rsidRDefault="00986DE4">
      <w:pPr>
        <w:spacing w:after="0"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7A2AC589" w14:textId="77777777" w:rsidR="00986DE4" w:rsidRPr="002F6289" w:rsidRDefault="009409A3">
      <w:pPr>
        <w:spacing w:after="0" w:line="360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2F6289">
        <w:rPr>
          <w:rFonts w:ascii="Times New Roman" w:eastAsia="Arial" w:hAnsi="Times New Roman" w:cs="Times New Roman"/>
          <w:b/>
          <w:sz w:val="24"/>
          <w:szCs w:val="24"/>
        </w:rPr>
        <w:t xml:space="preserve">1 INTRODUÇÃO </w:t>
      </w:r>
    </w:p>
    <w:p w14:paraId="55E91753" w14:textId="77777777" w:rsidR="00986DE4" w:rsidRPr="002F6289" w:rsidRDefault="00986DE4">
      <w:pPr>
        <w:spacing w:after="0"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6A30A896" w14:textId="77777777" w:rsidR="00986DE4" w:rsidRPr="002F6289" w:rsidRDefault="009409A3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F6289">
        <w:rPr>
          <w:rFonts w:ascii="Times New Roman" w:eastAsia="Arial" w:hAnsi="Times New Roman" w:cs="Times New Roman"/>
          <w:sz w:val="24"/>
          <w:szCs w:val="24"/>
        </w:rPr>
        <w:t xml:space="preserve">       De acordo com o Guia Prático de Atualização da Sociedade Brasileira de Pediatria, a disforia de gênero é definida como um conflito entre o gênero expresso por um indivíduo através de características sexuais primárias e secundárias, e seu gênero atribuído a sua experiência corpórea e afetiv</w:t>
      </w:r>
      <w:r w:rsidRPr="002F6289">
        <w:rPr>
          <w:rFonts w:ascii="Times New Roman" w:eastAsia="Arial" w:hAnsi="Times New Roman" w:cs="Times New Roman"/>
          <w:sz w:val="24"/>
          <w:szCs w:val="24"/>
          <w:highlight w:val="white"/>
        </w:rPr>
        <w:t>a, (SBP, 2017).</w:t>
      </w:r>
      <w:r w:rsidRPr="002F6289">
        <w:rPr>
          <w:rFonts w:ascii="Times New Roman" w:eastAsia="Arial" w:hAnsi="Times New Roman" w:cs="Times New Roman"/>
          <w:sz w:val="24"/>
          <w:szCs w:val="24"/>
        </w:rPr>
        <w:t xml:space="preserve"> Tal assimetria pode resultar em significativo sofrimento psicológico ao olhar clínico, podendo despertar o desejo de mudar os</w:t>
      </w:r>
      <w:r w:rsidRPr="002F6289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</w:t>
      </w:r>
      <w:r w:rsidRPr="002F6289">
        <w:rPr>
          <w:rFonts w:ascii="Times New Roman" w:eastAsia="Arial" w:hAnsi="Times New Roman" w:cs="Times New Roman"/>
          <w:sz w:val="24"/>
          <w:szCs w:val="24"/>
        </w:rPr>
        <w:t xml:space="preserve">seus traços sexuais.  Pessoas que possuem características de identidade de gênero distintas dos seus sexos biológicos conferidos no nascimento são denominadas como transgêneros ou transexuais. O processo de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transexualização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é longo e contínuo agregando uma série de técnicas específicas como cirurgia de transgenitalização, histerectomia (remoção do útero), harmonização, mastectomia (remoção das mamas), entre outros (HANAUER E HEMI, 2020).</w:t>
      </w:r>
      <w:r w:rsidRPr="002F6289">
        <w:rPr>
          <w:rFonts w:ascii="Times New Roman" w:eastAsia="Arial" w:hAnsi="Times New Roman" w:cs="Times New Roman"/>
          <w:color w:val="980000"/>
          <w:sz w:val="24"/>
          <w:szCs w:val="24"/>
        </w:rPr>
        <w:t xml:space="preserve"> </w:t>
      </w:r>
    </w:p>
    <w:p w14:paraId="67C06FBC" w14:textId="77777777" w:rsidR="00986DE4" w:rsidRPr="002F6289" w:rsidRDefault="009409A3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F6289">
        <w:rPr>
          <w:rFonts w:ascii="Times New Roman" w:eastAsia="Arial" w:hAnsi="Times New Roman" w:cs="Times New Roman"/>
          <w:sz w:val="24"/>
          <w:szCs w:val="24"/>
        </w:rPr>
        <w:t xml:space="preserve">        A marginalização por orientação sexual e por identidade de gênero é frequente em diversas esferas da sociedade, refletindo também diretamente na qualidade do acesso social à saúde por referida população, ocasionando processos de sofrimento, adoecimento e morte precoce. Com isso, a luta da população LGBTQIA+ está na desestruturação do caráter de anormalidade que suas escolhas refletem na atual sociedade, uma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despatologização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da transexualidade. Dentro dos serviços de saúde essas situações de preconceito são expressas como negação de direitos, omissão de cuidado, estigmatização e constrangimento, além de violências verbais, morais, institucionais e até físicas (RONCON 2019). </w:t>
      </w:r>
    </w:p>
    <w:p w14:paraId="5C8B790E" w14:textId="77777777" w:rsidR="00986DE4" w:rsidRPr="002F6289" w:rsidRDefault="009409A3">
      <w:pPr>
        <w:spacing w:after="0" w:line="360" w:lineRule="auto"/>
        <w:jc w:val="both"/>
        <w:rPr>
          <w:rFonts w:ascii="Times New Roman" w:eastAsia="Arial" w:hAnsi="Times New Roman" w:cs="Times New Roman"/>
          <w:color w:val="FF0000"/>
          <w:sz w:val="24"/>
          <w:szCs w:val="24"/>
        </w:rPr>
      </w:pPr>
      <w:r w:rsidRPr="002F6289">
        <w:rPr>
          <w:rFonts w:ascii="Times New Roman" w:eastAsia="Arial" w:hAnsi="Times New Roman" w:cs="Times New Roman"/>
          <w:sz w:val="24"/>
          <w:szCs w:val="24"/>
        </w:rPr>
        <w:t xml:space="preserve">        Na constituição brasileira de 1988, no artigo n°194 está posto que “cabe ao Estado garantir a seguridade social”, entendendo a seguridade social como acesso à saúde, previdência e assistência coletiva. No mesmo texto, o artigo n°195 regulamenta as ações e serviços públicos em saúde e cria o Sistema Único de Saúde (SUS), que tem como preceitos a universalidade do acesso, a equidade e a integralidade na assistência. Em conformidade a esses preceitos, o Estado, no decorrer desses anos, vem constituindo </w:t>
      </w:r>
      <w:r w:rsidRPr="002F6289">
        <w:rPr>
          <w:rFonts w:ascii="Times New Roman" w:eastAsia="Arial" w:hAnsi="Times New Roman" w:cs="Times New Roman"/>
          <w:sz w:val="24"/>
          <w:szCs w:val="24"/>
        </w:rPr>
        <w:lastRenderedPageBreak/>
        <w:t>diferentes políticas públicas voltadas para grupos que necessitam de atenção especial, devido a sua vulnerabilidade, dentre eles, o grupo transgênero. O</w:t>
      </w:r>
      <w:r w:rsidRPr="002F6289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processo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  <w:highlight w:val="white"/>
        </w:rPr>
        <w:t>transexualizador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no SUS foi iniciado em 2008 por meio da Portaria n° 457/2008,</w:t>
      </w:r>
      <w:r w:rsidRPr="002F6289">
        <w:rPr>
          <w:rFonts w:ascii="Times New Roman" w:eastAsia="Arial" w:hAnsi="Times New Roman" w:cs="Times New Roman"/>
          <w:sz w:val="24"/>
          <w:szCs w:val="24"/>
        </w:rPr>
        <w:t xml:space="preserve"> permitindo acesso a procedimentos como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hormonização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>, cirurgias e acompanhamento multiprofissional (BRASIL,2008).</w:t>
      </w:r>
    </w:p>
    <w:p w14:paraId="6DAFEE4B" w14:textId="77777777" w:rsidR="00986DE4" w:rsidRPr="002F6289" w:rsidRDefault="009409A3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F6289">
        <w:rPr>
          <w:rFonts w:ascii="Times New Roman" w:eastAsia="Arial" w:hAnsi="Times New Roman" w:cs="Times New Roman"/>
          <w:sz w:val="24"/>
          <w:szCs w:val="24"/>
        </w:rPr>
        <w:t xml:space="preserve">        Este processo, muitas vezes, começa sem o acompanhamento profissional por dificuldades no acesso ao atendimento especializado, pela discriminação existente em estabelecimentos de saúde, ou mesmo pela falta de informação, sendo assim, a automedicação é o recurso mais fácil encontrado por essas pessoas. </w:t>
      </w:r>
    </w:p>
    <w:p w14:paraId="115595C8" w14:textId="77777777" w:rsidR="00986DE4" w:rsidRPr="002F6289" w:rsidRDefault="009409A3">
      <w:pPr>
        <w:spacing w:after="0" w:line="36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F6289">
        <w:rPr>
          <w:rFonts w:ascii="Times New Roman" w:eastAsia="Arial" w:hAnsi="Times New Roman" w:cs="Times New Roman"/>
          <w:sz w:val="24"/>
          <w:szCs w:val="24"/>
        </w:rPr>
        <w:t>O farmacêutico é o profissional de saúde com acesso mais rápido à população por estar presente nas farmácias comunitárias e drogarias. Diante da facilidade de acesso da população a este profissional, o farmacêutico pode prestar um atendimento de assistência integral à saúde (</w:t>
      </w:r>
      <w:r w:rsidRPr="002F6289">
        <w:rPr>
          <w:rFonts w:ascii="Times New Roman" w:eastAsia="Arial" w:hAnsi="Times New Roman" w:cs="Times New Roman"/>
          <w:sz w:val="24"/>
          <w:szCs w:val="24"/>
          <w:highlight w:val="white"/>
        </w:rPr>
        <w:t>GRUNDMANN et al., 2019), incluindo o grupo de transgênero.</w:t>
      </w:r>
      <w:r w:rsidRPr="002F6289">
        <w:rPr>
          <w:rFonts w:ascii="Times New Roman" w:eastAsia="Arial" w:hAnsi="Times New Roman" w:cs="Times New Roman"/>
          <w:sz w:val="24"/>
          <w:szCs w:val="24"/>
        </w:rPr>
        <w:t xml:space="preserve"> Em geral, a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hormonização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é tida como procedimento essencial na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transexualização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>, mas não deve ser critério absoluto para compreensão destes indivíduos, quando se refere à classe gênero (</w:t>
      </w:r>
      <w:r w:rsidRPr="002F6289">
        <w:rPr>
          <w:rFonts w:ascii="Times New Roman" w:eastAsia="Arial" w:hAnsi="Times New Roman" w:cs="Times New Roman"/>
          <w:sz w:val="20"/>
          <w:szCs w:val="20"/>
        </w:rPr>
        <w:t>KRÜGER</w:t>
      </w:r>
      <w:r w:rsidRPr="002F6289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Pr="002F6289">
        <w:rPr>
          <w:rFonts w:ascii="Times New Roman" w:eastAsia="Arial" w:hAnsi="Times New Roman" w:cs="Times New Roman"/>
          <w:i/>
          <w:sz w:val="24"/>
          <w:szCs w:val="24"/>
        </w:rPr>
        <w:t xml:space="preserve">et al. </w:t>
      </w:r>
      <w:r w:rsidRPr="002F6289">
        <w:rPr>
          <w:rFonts w:ascii="Times New Roman" w:eastAsia="Arial" w:hAnsi="Times New Roman" w:cs="Times New Roman"/>
          <w:sz w:val="24"/>
          <w:szCs w:val="24"/>
        </w:rPr>
        <w:t xml:space="preserve">2021). </w:t>
      </w:r>
    </w:p>
    <w:p w14:paraId="1B5FC7BD" w14:textId="77777777" w:rsidR="00986DE4" w:rsidRPr="002F6289" w:rsidRDefault="009409A3">
      <w:pPr>
        <w:spacing w:after="0" w:line="360" w:lineRule="auto"/>
        <w:jc w:val="both"/>
        <w:rPr>
          <w:rFonts w:ascii="Times New Roman" w:eastAsia="Arial" w:hAnsi="Times New Roman" w:cs="Times New Roman"/>
        </w:rPr>
      </w:pPr>
      <w:r w:rsidRPr="002F6289">
        <w:rPr>
          <w:rFonts w:ascii="Times New Roman" w:eastAsia="Arial" w:hAnsi="Times New Roman" w:cs="Times New Roman"/>
          <w:sz w:val="24"/>
          <w:szCs w:val="24"/>
        </w:rPr>
        <w:t xml:space="preserve">       O uso irracional de medicamentos, incluindo os medicamentos usados na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transexualização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>, pode acarretar vários problemas de saúde devido à</w:t>
      </w:r>
      <w:r w:rsidRPr="002F6289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</w:t>
      </w:r>
      <w:r w:rsidRPr="002F6289">
        <w:rPr>
          <w:rFonts w:ascii="Times New Roman" w:eastAsia="Arial" w:hAnsi="Times New Roman" w:cs="Times New Roman"/>
          <w:sz w:val="24"/>
          <w:szCs w:val="24"/>
        </w:rPr>
        <w:t xml:space="preserve">falta de controle sobre o uso de tais medicamentos utilizados para a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hormonização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, uma vez que grande parte dos medicamentos hormonais são adquiridos sem receita médica e sem orientação profissional de saúde. O presente trabalho objetivou abordar a importância do profissional farmacêutico no acesso de medicamentos hormonais por pessoas em processo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transexualizador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14:paraId="447E6C56" w14:textId="77777777" w:rsidR="00986DE4" w:rsidRPr="002F6289" w:rsidRDefault="00986DE4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</w:p>
    <w:p w14:paraId="410EEE71" w14:textId="77777777" w:rsidR="00986DE4" w:rsidRPr="002F6289" w:rsidRDefault="009409A3">
      <w:pPr>
        <w:spacing w:after="0" w:line="360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2F6289">
        <w:rPr>
          <w:rFonts w:ascii="Times New Roman" w:eastAsia="Arial" w:hAnsi="Times New Roman" w:cs="Times New Roman"/>
          <w:b/>
          <w:sz w:val="24"/>
          <w:szCs w:val="24"/>
        </w:rPr>
        <w:t>2 DELINEAMENTO METODOLOGICO</w:t>
      </w:r>
    </w:p>
    <w:p w14:paraId="74DE3EAA" w14:textId="77777777" w:rsidR="00986DE4" w:rsidRPr="002F6289" w:rsidRDefault="00986DE4">
      <w:pPr>
        <w:spacing w:after="0"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0D16E2E4" w14:textId="77777777" w:rsidR="00986DE4" w:rsidRPr="002F6289" w:rsidRDefault="009409A3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F6289">
        <w:rPr>
          <w:rFonts w:ascii="Times New Roman" w:eastAsia="Arial" w:hAnsi="Times New Roman" w:cs="Times New Roman"/>
          <w:sz w:val="24"/>
          <w:szCs w:val="24"/>
        </w:rPr>
        <w:t xml:space="preserve">          Foi realizada uma revisão bibliográfica narrativa da literatura, para tipo de estudo retrospectivo descritivo. Como primeira etapa, foi feito um levantamento bibliográfico, a fim de se obter todas as referências encontradas, de maior relevância, sobre o acesso aos medicamentos hormonais no contexto da saúde da população transexual e</w:t>
      </w:r>
      <w:r w:rsidRPr="002F6289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, levando em conta, o</w:t>
      </w:r>
      <w:r w:rsidRPr="002F6289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</w:t>
      </w:r>
      <w:r w:rsidRPr="002F6289">
        <w:rPr>
          <w:rFonts w:ascii="Times New Roman" w:eastAsia="Arial" w:hAnsi="Times New Roman" w:cs="Times New Roman"/>
          <w:sz w:val="24"/>
          <w:szCs w:val="24"/>
        </w:rPr>
        <w:t xml:space="preserve">papel do farmacêutico. Foram utilizados artigos científicos descritos nas bases de dados SCIENCE DIRECT, SCIELO, PUBMED, Periódico Capes E LILACS. </w:t>
      </w:r>
      <w:r w:rsidRPr="002F6289">
        <w:rPr>
          <w:rFonts w:ascii="Times New Roman" w:eastAsia="Arial" w:hAnsi="Times New Roman" w:cs="Times New Roman"/>
          <w:sz w:val="24"/>
          <w:szCs w:val="24"/>
        </w:rPr>
        <w:lastRenderedPageBreak/>
        <w:t>O critério de inclusão utilizado foi a utilização de artigos no período entre 2012 e 2022, nos idiomas português e inglês. Os descritores utilizados em Ciências da Saúde (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DeCS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>) foram: “população “LGBTQIA+”, “</w:t>
      </w:r>
      <w:r w:rsidRPr="002F6289">
        <w:rPr>
          <w:rFonts w:ascii="Times New Roman" w:eastAsia="Arial" w:hAnsi="Times New Roman" w:cs="Times New Roman"/>
          <w:i/>
          <w:sz w:val="24"/>
          <w:szCs w:val="24"/>
        </w:rPr>
        <w:t xml:space="preserve">LGBTQIA+ </w:t>
      </w:r>
      <w:proofErr w:type="spellStart"/>
      <w:r w:rsidRPr="002F6289">
        <w:rPr>
          <w:rFonts w:ascii="Times New Roman" w:eastAsia="Arial" w:hAnsi="Times New Roman" w:cs="Times New Roman"/>
          <w:i/>
          <w:sz w:val="24"/>
          <w:szCs w:val="24"/>
        </w:rPr>
        <w:t>population</w:t>
      </w:r>
      <w:proofErr w:type="spellEnd"/>
      <w:r w:rsidRPr="002F6289">
        <w:rPr>
          <w:rFonts w:ascii="Times New Roman" w:eastAsia="Arial" w:hAnsi="Times New Roman" w:cs="Times New Roman"/>
          <w:i/>
          <w:sz w:val="24"/>
          <w:szCs w:val="24"/>
        </w:rPr>
        <w:t xml:space="preserve">”, </w:t>
      </w:r>
      <w:r w:rsidRPr="002F6289">
        <w:rPr>
          <w:rFonts w:ascii="Times New Roman" w:eastAsia="Arial" w:hAnsi="Times New Roman" w:cs="Times New Roman"/>
          <w:sz w:val="24"/>
          <w:szCs w:val="24"/>
        </w:rPr>
        <w:t>“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Hormonização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>”,</w:t>
      </w:r>
      <w:r w:rsidRPr="002F6289">
        <w:rPr>
          <w:rFonts w:ascii="Times New Roman" w:eastAsia="Arial" w:hAnsi="Times New Roman" w:cs="Times New Roman"/>
          <w:i/>
          <w:sz w:val="24"/>
          <w:szCs w:val="24"/>
        </w:rPr>
        <w:t xml:space="preserve"> “</w:t>
      </w:r>
      <w:proofErr w:type="spellStart"/>
      <w:r w:rsidRPr="002F6289">
        <w:rPr>
          <w:rFonts w:ascii="Times New Roman" w:eastAsia="Arial" w:hAnsi="Times New Roman" w:cs="Times New Roman"/>
          <w:i/>
          <w:sz w:val="24"/>
          <w:szCs w:val="24"/>
        </w:rPr>
        <w:t>Hormonization</w:t>
      </w:r>
      <w:proofErr w:type="spellEnd"/>
      <w:r w:rsidRPr="002F6289">
        <w:rPr>
          <w:rFonts w:ascii="Times New Roman" w:eastAsia="Arial" w:hAnsi="Times New Roman" w:cs="Times New Roman"/>
          <w:i/>
          <w:sz w:val="24"/>
          <w:szCs w:val="24"/>
        </w:rPr>
        <w:t xml:space="preserve">”, </w:t>
      </w:r>
      <w:r w:rsidRPr="002F6289">
        <w:rPr>
          <w:rFonts w:ascii="Times New Roman" w:eastAsia="Arial" w:hAnsi="Times New Roman" w:cs="Times New Roman"/>
          <w:sz w:val="24"/>
          <w:szCs w:val="24"/>
        </w:rPr>
        <w:t>“Atenção Farmacêutica”</w:t>
      </w:r>
      <w:r w:rsidRPr="002F6289">
        <w:rPr>
          <w:rFonts w:ascii="Times New Roman" w:eastAsia="Arial" w:hAnsi="Times New Roman" w:cs="Times New Roman"/>
          <w:i/>
          <w:sz w:val="24"/>
          <w:szCs w:val="24"/>
        </w:rPr>
        <w:t xml:space="preserve"> “</w:t>
      </w:r>
      <w:proofErr w:type="spellStart"/>
      <w:r w:rsidRPr="002F6289">
        <w:rPr>
          <w:rFonts w:ascii="Times New Roman" w:eastAsia="Arial" w:hAnsi="Times New Roman" w:cs="Times New Roman"/>
          <w:i/>
          <w:sz w:val="24"/>
          <w:szCs w:val="24"/>
        </w:rPr>
        <w:t>Pharmaceutical</w:t>
      </w:r>
      <w:proofErr w:type="spellEnd"/>
      <w:r w:rsidRPr="002F6289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2F6289">
        <w:rPr>
          <w:rFonts w:ascii="Times New Roman" w:eastAsia="Arial" w:hAnsi="Times New Roman" w:cs="Times New Roman"/>
          <w:i/>
          <w:sz w:val="24"/>
          <w:szCs w:val="24"/>
        </w:rPr>
        <w:t>Care</w:t>
      </w:r>
      <w:proofErr w:type="spellEnd"/>
      <w:r w:rsidRPr="002F6289">
        <w:rPr>
          <w:rFonts w:ascii="Times New Roman" w:eastAsia="Arial" w:hAnsi="Times New Roman" w:cs="Times New Roman"/>
          <w:i/>
          <w:sz w:val="24"/>
          <w:szCs w:val="24"/>
        </w:rPr>
        <w:t>”.</w:t>
      </w:r>
    </w:p>
    <w:p w14:paraId="420B044B" w14:textId="77777777" w:rsidR="00986DE4" w:rsidRPr="002F6289" w:rsidRDefault="009409A3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F6289">
        <w:rPr>
          <w:rFonts w:ascii="Times New Roman" w:eastAsia="Arial" w:hAnsi="Times New Roman" w:cs="Times New Roman"/>
          <w:sz w:val="24"/>
          <w:szCs w:val="24"/>
        </w:rPr>
        <w:t xml:space="preserve">          A partir deste levantamento foi realizada a contextualização para o problema e a análise das possibilidades presentes na literatura consultada para a concepção do referencial teórico da pesquisa. A partir deste levantamento, foi elaborada uma revisão narrativa para estabelecer relações com as produções científicas anteriores, identificar temáticas recorrentes e apontar novas perspectivas, visando a construção de orientações práticas pedagógicas para definição de parâmetros de formação de profissionais da área de Ciências da Saúde para a assistência ao grupo de pessoas transexuais.</w:t>
      </w:r>
    </w:p>
    <w:p w14:paraId="3BB08551" w14:textId="77777777" w:rsidR="00986DE4" w:rsidRPr="002F6289" w:rsidRDefault="00986DE4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</w:p>
    <w:p w14:paraId="7DF7469E" w14:textId="77777777" w:rsidR="00986DE4" w:rsidRPr="002F6289" w:rsidRDefault="009409A3">
      <w:pPr>
        <w:spacing w:after="0" w:line="360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2F6289">
        <w:rPr>
          <w:rFonts w:ascii="Times New Roman" w:eastAsia="Arial" w:hAnsi="Times New Roman" w:cs="Times New Roman"/>
          <w:b/>
          <w:sz w:val="24"/>
          <w:szCs w:val="24"/>
        </w:rPr>
        <w:t>RESULTADOS E DISCUSSÃO</w:t>
      </w:r>
    </w:p>
    <w:p w14:paraId="125D2592" w14:textId="77777777" w:rsidR="00986DE4" w:rsidRPr="002F6289" w:rsidRDefault="00986DE4">
      <w:pPr>
        <w:spacing w:after="0"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1A77036B" w14:textId="77777777" w:rsidR="00986DE4" w:rsidRPr="002F6289" w:rsidRDefault="009409A3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2F6289">
        <w:rPr>
          <w:rFonts w:ascii="Times New Roman" w:eastAsia="Arial" w:hAnsi="Times New Roman" w:cs="Times New Roman"/>
          <w:sz w:val="24"/>
          <w:szCs w:val="24"/>
        </w:rPr>
        <w:t xml:space="preserve">Com os achados na literatura baseado na metodologia aplicada nesta pesquisa, foi possível verificar o quantitativo de 33 artigos que falavam sobre a temática, o número de artigos reforça a escassez em publicações voltadas ao tema gerando assim falta de informações que construam um conhecimento dentro da atuação farmacêutica para a o atendimento da população LGBTQIA+ no contexto de pessoas transexuais. </w:t>
      </w:r>
    </w:p>
    <w:p w14:paraId="62CAEE3F" w14:textId="77777777" w:rsidR="00986DE4" w:rsidRPr="002F6289" w:rsidRDefault="009409A3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F6289">
        <w:rPr>
          <w:rFonts w:ascii="Times New Roman" w:eastAsia="Arial" w:hAnsi="Times New Roman" w:cs="Times New Roman"/>
          <w:sz w:val="24"/>
          <w:szCs w:val="24"/>
        </w:rPr>
        <w:t>Sendo assim, foram aplicados a esses 33 artigos encontrados nas bases de dados os critérios de inclusão e exclusão onde foram excluídos 19 artigos que não estavam em consonância com o tema abordado, e os que não se encontravam dentro do período delimitado. Logo, foram selecionados 13 artigos elegíveis para a construção da discussão deste trabalho conforme esquema montado no quadro 1.</w:t>
      </w:r>
    </w:p>
    <w:p w14:paraId="1E22C094" w14:textId="77777777" w:rsidR="00986DE4" w:rsidRPr="002F6289" w:rsidRDefault="00986DE4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642B180" w14:textId="77777777" w:rsidR="00986DE4" w:rsidRPr="002F6289" w:rsidRDefault="009409A3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F6289">
        <w:rPr>
          <w:rFonts w:ascii="Times New Roman" w:eastAsia="Arial" w:hAnsi="Times New Roman" w:cs="Times New Roman"/>
          <w:sz w:val="24"/>
          <w:szCs w:val="24"/>
        </w:rPr>
        <w:t>Quadro 1 Caracterização dos artigos utilizados para o levantamento da discussão.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986DE4" w:rsidRPr="002F6289" w14:paraId="3C477A1A" w14:textId="77777777">
        <w:trPr>
          <w:cantSplit/>
          <w:trHeight w:val="841"/>
        </w:trPr>
        <w:tc>
          <w:tcPr>
            <w:tcW w:w="2123" w:type="dxa"/>
            <w:shd w:val="clear" w:color="auto" w:fill="D9D9D9" w:themeFill="background1" w:themeFillShade="D9"/>
            <w:vAlign w:val="center"/>
          </w:tcPr>
          <w:p w14:paraId="37A05D22" w14:textId="77777777" w:rsidR="00986DE4" w:rsidRPr="002F6289" w:rsidRDefault="009409A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2F62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Autor /ano</w:t>
            </w:r>
          </w:p>
        </w:tc>
        <w:tc>
          <w:tcPr>
            <w:tcW w:w="2123" w:type="dxa"/>
            <w:shd w:val="clear" w:color="auto" w:fill="D9D9D9" w:themeFill="background1" w:themeFillShade="D9"/>
            <w:vAlign w:val="center"/>
          </w:tcPr>
          <w:p w14:paraId="1E21AED4" w14:textId="77777777" w:rsidR="00986DE4" w:rsidRPr="002F6289" w:rsidRDefault="009409A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2F62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Titulo</w:t>
            </w:r>
          </w:p>
        </w:tc>
        <w:tc>
          <w:tcPr>
            <w:tcW w:w="2124" w:type="dxa"/>
            <w:shd w:val="clear" w:color="auto" w:fill="D9D9D9" w:themeFill="background1" w:themeFillShade="D9"/>
            <w:vAlign w:val="center"/>
          </w:tcPr>
          <w:p w14:paraId="0D3CCDD1" w14:textId="77777777" w:rsidR="00986DE4" w:rsidRPr="002F6289" w:rsidRDefault="009409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289">
              <w:rPr>
                <w:rFonts w:ascii="Times New Roman" w:hAnsi="Times New Roman" w:cs="Times New Roman"/>
                <w:b/>
                <w:sz w:val="20"/>
                <w:szCs w:val="20"/>
              </w:rPr>
              <w:t>Objetivo</w:t>
            </w:r>
          </w:p>
        </w:tc>
        <w:tc>
          <w:tcPr>
            <w:tcW w:w="2124" w:type="dxa"/>
            <w:shd w:val="clear" w:color="auto" w:fill="D9D9D9" w:themeFill="background1" w:themeFillShade="D9"/>
            <w:vAlign w:val="center"/>
          </w:tcPr>
          <w:p w14:paraId="70B07362" w14:textId="77777777" w:rsidR="00986DE4" w:rsidRPr="002F6289" w:rsidRDefault="009409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289">
              <w:rPr>
                <w:rFonts w:ascii="Times New Roman" w:hAnsi="Times New Roman" w:cs="Times New Roman"/>
                <w:b/>
                <w:sz w:val="20"/>
                <w:szCs w:val="20"/>
              </w:rPr>
              <w:t>Considerações</w:t>
            </w:r>
          </w:p>
        </w:tc>
      </w:tr>
      <w:tr w:rsidR="00986DE4" w:rsidRPr="002F6289" w14:paraId="225871BD" w14:textId="77777777">
        <w:tc>
          <w:tcPr>
            <w:tcW w:w="2123" w:type="dxa"/>
            <w:vAlign w:val="center"/>
          </w:tcPr>
          <w:p w14:paraId="1D2408E5" w14:textId="77777777" w:rsidR="00986DE4" w:rsidRPr="002F6289" w:rsidRDefault="009409A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proofErr w:type="spellStart"/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Kenezevichi</w:t>
            </w:r>
            <w:proofErr w:type="spellEnd"/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viereck</w:t>
            </w:r>
            <w:proofErr w:type="spellEnd"/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e </w:t>
            </w:r>
            <w:proofErr w:type="spellStart"/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Drincic</w:t>
            </w:r>
            <w:proofErr w:type="spellEnd"/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(2012)</w:t>
            </w:r>
          </w:p>
        </w:tc>
        <w:tc>
          <w:tcPr>
            <w:tcW w:w="2123" w:type="dxa"/>
            <w:vAlign w:val="center"/>
          </w:tcPr>
          <w:p w14:paraId="0A75FDAE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B91B06F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F2A8351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CFC90F8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0524C10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hAnsi="Times New Roman" w:cs="Times New Roman"/>
                <w:bCs/>
                <w:sz w:val="20"/>
                <w:szCs w:val="20"/>
              </w:rPr>
              <w:t>Tratamento Médico de Pessoas Transexuais Adultas.</w:t>
            </w:r>
          </w:p>
          <w:p w14:paraId="203CF714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5DDF7814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10E91D9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6FE11F8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Descreve métodos, incluindo farmacoterapia e intervenções cirúrgicas, para o tratamento </w:t>
            </w:r>
            <w:r w:rsidRPr="002F628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médico eficaz de adultos do sexo masculino e feminino com DGI.</w:t>
            </w:r>
          </w:p>
        </w:tc>
        <w:tc>
          <w:tcPr>
            <w:tcW w:w="2124" w:type="dxa"/>
            <w:vAlign w:val="center"/>
          </w:tcPr>
          <w:p w14:paraId="5C040C4B" w14:textId="77777777" w:rsidR="00986DE4" w:rsidRPr="002F6289" w:rsidRDefault="009409A3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Os farmacêuticos devem ter conhecimento das diretrizes e da literatura atual sobre </w:t>
            </w:r>
            <w:proofErr w:type="spellStart"/>
            <w:r w:rsidRPr="002F6289">
              <w:rPr>
                <w:rFonts w:ascii="Times New Roman" w:hAnsi="Times New Roman" w:cs="Times New Roman"/>
                <w:bCs/>
                <w:sz w:val="20"/>
                <w:szCs w:val="20"/>
              </w:rPr>
              <w:t>transexualismo</w:t>
            </w:r>
            <w:proofErr w:type="spellEnd"/>
            <w:r w:rsidRPr="002F62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podendo ajudar a </w:t>
            </w:r>
            <w:r w:rsidRPr="002F628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determinar a terapia apropriada, otimizar as dosagens, monitorar os efeitos adversos e educar os pacientes.</w:t>
            </w:r>
          </w:p>
        </w:tc>
      </w:tr>
      <w:tr w:rsidR="00986DE4" w:rsidRPr="002F6289" w14:paraId="1EE38CE7" w14:textId="77777777">
        <w:tc>
          <w:tcPr>
            <w:tcW w:w="2123" w:type="dxa"/>
            <w:vAlign w:val="center"/>
          </w:tcPr>
          <w:p w14:paraId="361026FE" w14:textId="77777777" w:rsidR="00986DE4" w:rsidRPr="002F6289" w:rsidRDefault="009409A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lastRenderedPageBreak/>
              <w:t>Albuquerque et al., (2013)</w:t>
            </w:r>
          </w:p>
        </w:tc>
        <w:tc>
          <w:tcPr>
            <w:tcW w:w="2123" w:type="dxa"/>
            <w:vAlign w:val="center"/>
          </w:tcPr>
          <w:p w14:paraId="24B4B51E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3950761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748F904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hAnsi="Times New Roman" w:cs="Times New Roman"/>
                <w:bCs/>
                <w:sz w:val="20"/>
                <w:szCs w:val="20"/>
              </w:rPr>
              <w:t>Homossexualidade e o direito à saúde: um desafio para as políticas públicas de saúde no Brasil.</w:t>
            </w:r>
          </w:p>
        </w:tc>
        <w:tc>
          <w:tcPr>
            <w:tcW w:w="2124" w:type="dxa"/>
            <w:vAlign w:val="center"/>
          </w:tcPr>
          <w:p w14:paraId="5585F40E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EF0A29E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hAnsi="Times New Roman" w:cs="Times New Roman"/>
                <w:bCs/>
                <w:sz w:val="20"/>
                <w:szCs w:val="20"/>
              </w:rPr>
              <w:t>Objetivou-se evidenciar a atuação das políticas públicas direcionadas à saúde da população homossexual brasileira.</w:t>
            </w:r>
          </w:p>
        </w:tc>
        <w:tc>
          <w:tcPr>
            <w:tcW w:w="2124" w:type="dxa"/>
            <w:vAlign w:val="center"/>
          </w:tcPr>
          <w:p w14:paraId="409B3F98" w14:textId="77777777" w:rsidR="00986DE4" w:rsidRPr="002F6289" w:rsidRDefault="009409A3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hAnsi="Times New Roman" w:cs="Times New Roman"/>
                <w:bCs/>
                <w:sz w:val="20"/>
                <w:szCs w:val="20"/>
              </w:rPr>
              <w:t>Recomenda-se o estímulo de estudos como forma de gerar dados que fomentem a formulação de outras políticas que efetivamente aproximem o grupo LGBT dos espaços de saúde.</w:t>
            </w:r>
          </w:p>
        </w:tc>
      </w:tr>
      <w:tr w:rsidR="00986DE4" w:rsidRPr="002F6289" w14:paraId="56B2AFEF" w14:textId="77777777">
        <w:trPr>
          <w:trHeight w:val="90"/>
        </w:trPr>
        <w:tc>
          <w:tcPr>
            <w:tcW w:w="2123" w:type="dxa"/>
            <w:vAlign w:val="center"/>
          </w:tcPr>
          <w:p w14:paraId="1AA135DD" w14:textId="77777777" w:rsidR="00986DE4" w:rsidRPr="002F6289" w:rsidRDefault="009409A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Brasil (2014)</w:t>
            </w:r>
          </w:p>
        </w:tc>
        <w:tc>
          <w:tcPr>
            <w:tcW w:w="2123" w:type="dxa"/>
            <w:vAlign w:val="center"/>
          </w:tcPr>
          <w:p w14:paraId="359C1EC0" w14:textId="77777777" w:rsidR="00986DE4" w:rsidRPr="002F6289" w:rsidRDefault="00E523CE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hyperlink r:id="rId7" w:history="1">
              <w:r w:rsidR="009409A3" w:rsidRPr="002F6289">
                <w:rPr>
                  <w:rStyle w:val="Hyperlink"/>
                  <w:rFonts w:ascii="Times New Roman" w:hAnsi="Times New Roman" w:cs="Times New Roman"/>
                  <w:bCs/>
                  <w:color w:val="auto"/>
                  <w:sz w:val="20"/>
                  <w:szCs w:val="20"/>
                  <w:u w:val="none"/>
                </w:rPr>
                <w:t>LEI Nº 13.021, DE 8 DE AGOSTO DE 2014.</w:t>
              </w:r>
            </w:hyperlink>
          </w:p>
        </w:tc>
        <w:tc>
          <w:tcPr>
            <w:tcW w:w="2124" w:type="dxa"/>
            <w:vAlign w:val="center"/>
          </w:tcPr>
          <w:p w14:paraId="41547FD2" w14:textId="77777777" w:rsidR="00986DE4" w:rsidRPr="002F6289" w:rsidRDefault="0094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hAnsi="Times New Roman" w:cs="Times New Roman"/>
                <w:bCs/>
                <w:sz w:val="20"/>
                <w:szCs w:val="20"/>
              </w:rPr>
              <w:t>Dispõe sobre o exercício e a fiscalização das atividades farmacêuticas.</w:t>
            </w:r>
          </w:p>
          <w:p w14:paraId="61B86D7C" w14:textId="77777777" w:rsidR="00986DE4" w:rsidRPr="002F6289" w:rsidRDefault="00986DE4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7B4D11D9" w14:textId="77777777" w:rsidR="00986DE4" w:rsidRPr="002F6289" w:rsidRDefault="009409A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Aborda a atuação do farmacêutico em drogarias e suas atribuições no âmbito das drogarias bem como sua responsabilidade profissional e social.</w:t>
            </w:r>
          </w:p>
        </w:tc>
      </w:tr>
      <w:tr w:rsidR="00986DE4" w:rsidRPr="002F6289" w14:paraId="4218E953" w14:textId="77777777">
        <w:trPr>
          <w:trHeight w:val="4339"/>
        </w:trPr>
        <w:tc>
          <w:tcPr>
            <w:tcW w:w="2123" w:type="dxa"/>
            <w:vAlign w:val="center"/>
          </w:tcPr>
          <w:p w14:paraId="201458A4" w14:textId="77777777" w:rsidR="00986DE4" w:rsidRPr="002F6289" w:rsidRDefault="009409A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Brasil (2015)</w:t>
            </w:r>
          </w:p>
        </w:tc>
        <w:tc>
          <w:tcPr>
            <w:tcW w:w="2123" w:type="dxa"/>
            <w:vAlign w:val="center"/>
          </w:tcPr>
          <w:p w14:paraId="479945DF" w14:textId="77777777" w:rsidR="00986DE4" w:rsidRPr="002F6289" w:rsidRDefault="009409A3">
            <w:pPr>
              <w:spacing w:after="0" w:line="240" w:lineRule="auto"/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Transexualidade e </w:t>
            </w:r>
            <w:proofErr w:type="spellStart"/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Travestilidade</w:t>
            </w:r>
            <w:proofErr w:type="spellEnd"/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na Saúde</w:t>
            </w:r>
          </w:p>
        </w:tc>
        <w:tc>
          <w:tcPr>
            <w:tcW w:w="2124" w:type="dxa"/>
            <w:vAlign w:val="center"/>
          </w:tcPr>
          <w:p w14:paraId="5E1A61FD" w14:textId="77777777" w:rsidR="00986DE4" w:rsidRPr="002F6289" w:rsidRDefault="009409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hAnsi="Times New Roman" w:cs="Times New Roman"/>
                <w:bCs/>
                <w:sz w:val="20"/>
                <w:szCs w:val="20"/>
              </w:rPr>
              <w:t>Contribuir para a reflexão sobre a importância da vontade política de gestores, do protagonismo dos movimentos sociais e do compromisso dos profissionais de saúde e pesquisadores, que fazem a diferença na vida e na saúde das pessoas transexual</w:t>
            </w:r>
          </w:p>
        </w:tc>
        <w:tc>
          <w:tcPr>
            <w:tcW w:w="2124" w:type="dxa"/>
            <w:vAlign w:val="center"/>
          </w:tcPr>
          <w:p w14:paraId="352E08EB" w14:textId="77777777" w:rsidR="00986DE4" w:rsidRPr="002F6289" w:rsidRDefault="009409A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hAnsi="Times New Roman" w:cs="Times New Roman"/>
                <w:bCs/>
                <w:sz w:val="20"/>
                <w:szCs w:val="20"/>
              </w:rPr>
              <w:t>O desafio da promoção da equidade em saúde para a população de travestis e transexuais se faz presente nesse estudo sobre o olhar dos movimentos sociais, da academia, do serviço e da gestão que, em conjunto, contribuíram para a construção de uma política pública que garanta o direito à saúde sem preconceito de gênero, raça/etnia, orientação sexual e práticas sexuais e afetivas.</w:t>
            </w:r>
          </w:p>
        </w:tc>
      </w:tr>
      <w:tr w:rsidR="00986DE4" w:rsidRPr="002F6289" w14:paraId="7E9E1DEC" w14:textId="77777777">
        <w:trPr>
          <w:trHeight w:val="2391"/>
        </w:trPr>
        <w:tc>
          <w:tcPr>
            <w:tcW w:w="2123" w:type="dxa"/>
            <w:vAlign w:val="center"/>
          </w:tcPr>
          <w:p w14:paraId="50BBF9B5" w14:textId="77777777" w:rsidR="00986DE4" w:rsidRPr="002F6289" w:rsidRDefault="009409A3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De Lima, et al., (2017)</w:t>
            </w:r>
          </w:p>
        </w:tc>
        <w:tc>
          <w:tcPr>
            <w:tcW w:w="2123" w:type="dxa"/>
            <w:vAlign w:val="center"/>
          </w:tcPr>
          <w:p w14:paraId="56676573" w14:textId="77777777" w:rsidR="00986DE4" w:rsidRPr="002F6289" w:rsidRDefault="00986DE4">
            <w:pPr>
              <w:shd w:val="clear" w:color="auto" w:fill="FFFFFF"/>
              <w:ind w:left="-225" w:right="-225"/>
              <w:jc w:val="center"/>
              <w:rPr>
                <w:rFonts w:ascii="Times New Roman" w:eastAsia="Helvetica" w:hAnsi="Times New Roman" w:cs="Times New Roman"/>
                <w:bCs/>
                <w:sz w:val="20"/>
                <w:szCs w:val="20"/>
              </w:rPr>
            </w:pPr>
          </w:p>
          <w:p w14:paraId="57ABDEAB" w14:textId="77777777" w:rsidR="00986DE4" w:rsidRPr="002F6289" w:rsidRDefault="009409A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Atenção à Saúde da População LGBT numa capital nordestina.</w:t>
            </w:r>
          </w:p>
        </w:tc>
        <w:tc>
          <w:tcPr>
            <w:tcW w:w="2124" w:type="dxa"/>
            <w:vAlign w:val="center"/>
          </w:tcPr>
          <w:p w14:paraId="778A238E" w14:textId="77777777" w:rsidR="00986DE4" w:rsidRPr="002F6289" w:rsidRDefault="009409A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eastAsia="Helvetica" w:hAnsi="Times New Roman" w:cs="Times New Roman"/>
                <w:bCs/>
                <w:sz w:val="20"/>
                <w:szCs w:val="20"/>
                <w:shd w:val="clear" w:color="auto" w:fill="FFFFFF"/>
              </w:rPr>
              <w:t>Identificar, a partir da compreensão de gestores e profissionais de saúde, as dificuldades e desafios, potencialidades e facilidades encontradas na Atenção à Saúde Integral de Lésbicas, Gays, Bissexuais, Travestis e Transexuais, no município do Recife.</w:t>
            </w:r>
          </w:p>
        </w:tc>
        <w:tc>
          <w:tcPr>
            <w:tcW w:w="2124" w:type="dxa"/>
            <w:vAlign w:val="center"/>
          </w:tcPr>
          <w:p w14:paraId="0982EBD6" w14:textId="77777777" w:rsidR="00986DE4" w:rsidRPr="002F6289" w:rsidRDefault="009409A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O artigo aborda o </w:t>
            </w:r>
            <w:r w:rsidRPr="002F6289">
              <w:rPr>
                <w:rFonts w:ascii="Times New Roman" w:eastAsia="Helvetica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conhecimento e a percepção dos entrevistados, tornando visível as necessidades de direcionar ações mais amplas a população LGBT, preenchendo algumas lacunas na construção da Atenção Integral à Saúde, desde acolhimento, acesso aos serviços de saúde, a qualidade do atendimento oferecida, </w:t>
            </w:r>
            <w:r w:rsidRPr="002F6289">
              <w:rPr>
                <w:rFonts w:ascii="Times New Roman" w:eastAsia="Helvetica" w:hAnsi="Times New Roman" w:cs="Times New Roman"/>
                <w:bCs/>
                <w:sz w:val="20"/>
                <w:szCs w:val="20"/>
                <w:shd w:val="clear" w:color="auto" w:fill="FFFFFF"/>
              </w:rPr>
              <w:lastRenderedPageBreak/>
              <w:t>tornando o estudo com profissionais de saúde e gestores praticamente pioneiro na produção cientifica brasileira.</w:t>
            </w:r>
          </w:p>
        </w:tc>
      </w:tr>
      <w:tr w:rsidR="00986DE4" w:rsidRPr="002F6289" w14:paraId="1456D6AE" w14:textId="77777777">
        <w:tc>
          <w:tcPr>
            <w:tcW w:w="2123" w:type="dxa"/>
            <w:vAlign w:val="center"/>
          </w:tcPr>
          <w:p w14:paraId="12EED4E2" w14:textId="77777777" w:rsidR="00986DE4" w:rsidRPr="002F6289" w:rsidRDefault="009409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lastRenderedPageBreak/>
              <w:t>Guimarães et al., (2017)</w:t>
            </w:r>
          </w:p>
        </w:tc>
        <w:tc>
          <w:tcPr>
            <w:tcW w:w="2123" w:type="dxa"/>
            <w:vAlign w:val="center"/>
          </w:tcPr>
          <w:p w14:paraId="6F69962D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0B31F67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2C8915A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hAnsi="Times New Roman" w:cs="Times New Roman"/>
                <w:bCs/>
                <w:sz w:val="20"/>
                <w:szCs w:val="20"/>
              </w:rPr>
              <w:t>Assistência à saúde da população LGBT em uma capital brasileira: o que dizem os Agentes Comunitários de Saúde?</w:t>
            </w:r>
          </w:p>
        </w:tc>
        <w:tc>
          <w:tcPr>
            <w:tcW w:w="2124" w:type="dxa"/>
            <w:vAlign w:val="center"/>
          </w:tcPr>
          <w:p w14:paraId="537D08DA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hAnsi="Times New Roman" w:cs="Times New Roman"/>
                <w:bCs/>
                <w:sz w:val="20"/>
                <w:szCs w:val="20"/>
              </w:rPr>
              <w:t>Investiga a percepção destes profissionais em cinco unidades básicas de saúde da cidade de Goiana, Brasil, quanto ao atendimento integral à saúde da população LGBT.</w:t>
            </w:r>
          </w:p>
        </w:tc>
        <w:tc>
          <w:tcPr>
            <w:tcW w:w="2124" w:type="dxa"/>
            <w:vAlign w:val="center"/>
          </w:tcPr>
          <w:p w14:paraId="7EC98741" w14:textId="77777777" w:rsidR="00986DE4" w:rsidRPr="002F6289" w:rsidRDefault="009409A3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hAnsi="Times New Roman" w:cs="Times New Roman"/>
                <w:bCs/>
                <w:sz w:val="20"/>
                <w:szCs w:val="20"/>
              </w:rPr>
              <w:t>É preciso investir em metodologias ativas que permita aos atores sociais expor e trabalhar seus valores e crenças, e reconhecer possíveis estigmas e preconceitos decorrentes deles, no sentido de oferecer uma atenção à saúde qualificada para a população LGBT.</w:t>
            </w:r>
          </w:p>
        </w:tc>
      </w:tr>
      <w:tr w:rsidR="00986DE4" w:rsidRPr="002F6289" w14:paraId="4E24940E" w14:textId="77777777">
        <w:tc>
          <w:tcPr>
            <w:tcW w:w="2123" w:type="dxa"/>
            <w:vAlign w:val="center"/>
          </w:tcPr>
          <w:p w14:paraId="627693AC" w14:textId="77777777" w:rsidR="00986DE4" w:rsidRPr="002F6289" w:rsidRDefault="009409A3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proofErr w:type="spellStart"/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Krüger</w:t>
            </w:r>
            <w:proofErr w:type="spellEnd"/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et al., (2019)</w:t>
            </w:r>
          </w:p>
        </w:tc>
        <w:tc>
          <w:tcPr>
            <w:tcW w:w="2123" w:type="dxa"/>
            <w:vAlign w:val="center"/>
          </w:tcPr>
          <w:p w14:paraId="7A0C0BBE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hAnsi="Times New Roman" w:cs="Times New Roman"/>
                <w:bCs/>
                <w:sz w:val="20"/>
                <w:szCs w:val="20"/>
              </w:rPr>
              <w:t>Características do uso de hormônios por travestis e mulheres transexuais do Distrito Federal brasileiro</w:t>
            </w:r>
          </w:p>
        </w:tc>
        <w:tc>
          <w:tcPr>
            <w:tcW w:w="2124" w:type="dxa"/>
            <w:vAlign w:val="center"/>
          </w:tcPr>
          <w:p w14:paraId="3B2B6532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eastAsia="SimSu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Descrever a prevalência </w:t>
            </w:r>
            <w:proofErr w:type="spellStart"/>
            <w:r w:rsidRPr="002F6289">
              <w:rPr>
                <w:rFonts w:ascii="Times New Roman" w:eastAsia="SimSun" w:hAnsi="Times New Roman" w:cs="Times New Roman"/>
                <w:bCs/>
                <w:sz w:val="20"/>
                <w:szCs w:val="20"/>
                <w:shd w:val="clear" w:color="auto" w:fill="FFFFFF"/>
              </w:rPr>
              <w:t>autorrelatada</w:t>
            </w:r>
            <w:proofErr w:type="spellEnd"/>
            <w:r w:rsidRPr="002F6289">
              <w:rPr>
                <w:rFonts w:ascii="Times New Roman" w:eastAsia="SimSu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do uso de hormônios por travestis e mulheres transexuais do Distrito Federal e fatores associados.</w:t>
            </w:r>
          </w:p>
        </w:tc>
        <w:tc>
          <w:tcPr>
            <w:tcW w:w="2124" w:type="dxa"/>
            <w:vAlign w:val="center"/>
          </w:tcPr>
          <w:p w14:paraId="0AD5FBAB" w14:textId="77777777" w:rsidR="00986DE4" w:rsidRPr="002F6289" w:rsidRDefault="009409A3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Demonstrou a realidade do processo de </w:t>
            </w:r>
            <w:proofErr w:type="spellStart"/>
            <w:r w:rsidRPr="002F6289">
              <w:rPr>
                <w:rFonts w:ascii="Times New Roman" w:hAnsi="Times New Roman" w:cs="Times New Roman"/>
                <w:bCs/>
                <w:sz w:val="20"/>
                <w:szCs w:val="20"/>
              </w:rPr>
              <w:t>hormonização</w:t>
            </w:r>
            <w:proofErr w:type="spellEnd"/>
            <w:r w:rsidRPr="002F62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dessas pessoas, refletidas nas altas taxas de efeitos indesejados, de descontinuidade de uso e recebimento de informações técnicas apenas de pares.</w:t>
            </w:r>
          </w:p>
        </w:tc>
      </w:tr>
      <w:tr w:rsidR="00986DE4" w:rsidRPr="002F6289" w14:paraId="63B1D180" w14:textId="77777777">
        <w:tc>
          <w:tcPr>
            <w:tcW w:w="2123" w:type="dxa"/>
            <w:vAlign w:val="center"/>
          </w:tcPr>
          <w:p w14:paraId="6C50BB1E" w14:textId="77777777" w:rsidR="00986DE4" w:rsidRPr="002F6289" w:rsidRDefault="009409A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Braz (2019)</w:t>
            </w:r>
          </w:p>
        </w:tc>
        <w:tc>
          <w:tcPr>
            <w:tcW w:w="2123" w:type="dxa"/>
            <w:vAlign w:val="center"/>
          </w:tcPr>
          <w:p w14:paraId="70276C86" w14:textId="77777777" w:rsidR="00986DE4" w:rsidRPr="002F6289" w:rsidRDefault="009409A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Vidas que esperam? Itinerários do acesso a serviços de saúde para homens </w:t>
            </w:r>
            <w:proofErr w:type="spellStart"/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trans</w:t>
            </w:r>
            <w:proofErr w:type="spellEnd"/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no Brasil e na Argentina.</w:t>
            </w:r>
          </w:p>
        </w:tc>
        <w:tc>
          <w:tcPr>
            <w:tcW w:w="2124" w:type="dxa"/>
            <w:vAlign w:val="center"/>
          </w:tcPr>
          <w:p w14:paraId="337B4FFC" w14:textId="77777777" w:rsidR="00986DE4" w:rsidRPr="002F6289" w:rsidRDefault="009409A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Interpretação e comparação dos itinerários agenciados por homens transexuais para lidar com a questão da espera, quando confrontados por desafios relacionados ao acesso a serviços de saúde no Brasil na Argentina.</w:t>
            </w:r>
          </w:p>
        </w:tc>
        <w:tc>
          <w:tcPr>
            <w:tcW w:w="2124" w:type="dxa"/>
            <w:vAlign w:val="center"/>
          </w:tcPr>
          <w:p w14:paraId="1CB84167" w14:textId="77777777" w:rsidR="00986DE4" w:rsidRPr="002F6289" w:rsidRDefault="009409A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A busca por conhecer o sentimento e os caminhos ao qual a espera por atendimento no SUS </w:t>
            </w:r>
            <w:proofErr w:type="spellStart"/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tras</w:t>
            </w:r>
            <w:proofErr w:type="spellEnd"/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a uma parte da sociedade que é minoria acaba tomando caminhos ao qual o processo </w:t>
            </w:r>
            <w:proofErr w:type="spellStart"/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transexualizador</w:t>
            </w:r>
            <w:proofErr w:type="spellEnd"/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se torna doloroso e incompleto.</w:t>
            </w:r>
          </w:p>
        </w:tc>
      </w:tr>
      <w:tr w:rsidR="00986DE4" w:rsidRPr="002F6289" w14:paraId="3A5C3306" w14:textId="77777777">
        <w:tc>
          <w:tcPr>
            <w:tcW w:w="2123" w:type="dxa"/>
            <w:vAlign w:val="center"/>
          </w:tcPr>
          <w:p w14:paraId="37BF0779" w14:textId="77777777" w:rsidR="00986DE4" w:rsidRPr="002F6289" w:rsidRDefault="009409A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proofErr w:type="spellStart"/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Roncon</w:t>
            </w:r>
            <w:proofErr w:type="spellEnd"/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et al., (2019)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368E7CFB" w14:textId="77777777" w:rsidR="00986DE4" w:rsidRPr="002F6289" w:rsidRDefault="009409A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Desafios enfrentados por pessoas </w:t>
            </w:r>
            <w:proofErr w:type="spellStart"/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trans</w:t>
            </w:r>
            <w:proofErr w:type="spellEnd"/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para acessar o processo </w:t>
            </w:r>
            <w:proofErr w:type="spellStart"/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transexualizador</w:t>
            </w:r>
            <w:proofErr w:type="spellEnd"/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do Sistema Único de Saúde</w:t>
            </w:r>
          </w:p>
        </w:tc>
        <w:tc>
          <w:tcPr>
            <w:tcW w:w="2124" w:type="dxa"/>
            <w:vAlign w:val="center"/>
          </w:tcPr>
          <w:p w14:paraId="135D82BA" w14:textId="77777777" w:rsidR="00986DE4" w:rsidRPr="002F6289" w:rsidRDefault="009409A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Discutir três importantes desafios enfrentados pela população </w:t>
            </w:r>
            <w:proofErr w:type="spellStart"/>
            <w:r w:rsidRPr="002F628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trans</w:t>
            </w:r>
            <w:proofErr w:type="spellEnd"/>
            <w:r w:rsidRPr="002F628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brasileira para acessar ao processo </w:t>
            </w:r>
            <w:proofErr w:type="spellStart"/>
            <w:r w:rsidRPr="002F628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transexualizador</w:t>
            </w:r>
            <w:proofErr w:type="spellEnd"/>
            <w:r w:rsidRPr="002F628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do SUS.</w:t>
            </w:r>
          </w:p>
        </w:tc>
        <w:tc>
          <w:tcPr>
            <w:tcW w:w="2124" w:type="dxa"/>
            <w:vAlign w:val="center"/>
          </w:tcPr>
          <w:p w14:paraId="056CCF5F" w14:textId="77777777" w:rsidR="00986DE4" w:rsidRPr="002F6289" w:rsidRDefault="009409A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O estudo foi realizado de forma qualitativa a partir de dados coletados por entrevistas com os pacientes que necessitavam do processo </w:t>
            </w:r>
            <w:proofErr w:type="spellStart"/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transexualizador</w:t>
            </w:r>
            <w:proofErr w:type="spellEnd"/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e no entanto</w:t>
            </w:r>
            <w:proofErr w:type="gramEnd"/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não obtiveram tais recursos </w:t>
            </w:r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lastRenderedPageBreak/>
              <w:t>mencionando assim suas dificuldades.</w:t>
            </w:r>
          </w:p>
        </w:tc>
      </w:tr>
      <w:tr w:rsidR="00986DE4" w:rsidRPr="002F6289" w14:paraId="6B55F448" w14:textId="77777777">
        <w:tc>
          <w:tcPr>
            <w:tcW w:w="2123" w:type="dxa"/>
            <w:vAlign w:val="center"/>
          </w:tcPr>
          <w:p w14:paraId="7E1E39E7" w14:textId="77777777" w:rsidR="00986DE4" w:rsidRPr="002F6289" w:rsidRDefault="009409A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lastRenderedPageBreak/>
              <w:t>Silva et al., (2020)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68A0531E" w14:textId="77777777" w:rsidR="00986DE4" w:rsidRPr="002F6289" w:rsidRDefault="009409A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Implementação da Política Nacional de Saúde Integral de Lésbicas, Gays, Bissexuais, Travestis e Transexuais (PNSI LGBT) no Paraná</w:t>
            </w:r>
          </w:p>
        </w:tc>
        <w:tc>
          <w:tcPr>
            <w:tcW w:w="2124" w:type="dxa"/>
            <w:vAlign w:val="center"/>
          </w:tcPr>
          <w:p w14:paraId="69A19E02" w14:textId="77777777" w:rsidR="00986DE4" w:rsidRPr="002F6289" w:rsidRDefault="009409A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Investigou-se a implementação da Política Nacional de Saúde Integral de Lésbicas, </w:t>
            </w:r>
            <w:r w:rsidRPr="002F628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shd w:val="clear" w:color="auto" w:fill="FFFFFF"/>
              </w:rPr>
              <w:t>Gays</w:t>
            </w:r>
            <w:r w:rsidRPr="002F628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, Bissexuais, Travestis e Transexuais (PNSI LGBT) no Paraná</w:t>
            </w:r>
          </w:p>
        </w:tc>
        <w:tc>
          <w:tcPr>
            <w:tcW w:w="2124" w:type="dxa"/>
            <w:vAlign w:val="center"/>
          </w:tcPr>
          <w:p w14:paraId="78379315" w14:textId="77777777" w:rsidR="00986DE4" w:rsidRPr="002F6289" w:rsidRDefault="009409A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Consolida alguns conceitos necessários para o acesso a saúde integral de pessoas LGBTQAPN+ ao serviço de saúde, bem como traz ações e apontamentos para melhoria da relação paciente e sistema de saúde no contexto do SUS.</w:t>
            </w:r>
          </w:p>
          <w:p w14:paraId="07127D1A" w14:textId="77777777" w:rsidR="00986DE4" w:rsidRPr="002F6289" w:rsidRDefault="00986DE4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</w:tr>
      <w:tr w:rsidR="00986DE4" w:rsidRPr="002F6289" w14:paraId="27197B98" w14:textId="77777777">
        <w:tc>
          <w:tcPr>
            <w:tcW w:w="2123" w:type="dxa"/>
            <w:vAlign w:val="center"/>
          </w:tcPr>
          <w:p w14:paraId="5B8963F1" w14:textId="77777777" w:rsidR="00986DE4" w:rsidRPr="002F6289" w:rsidRDefault="009409A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AUGUSTO, OLIVEIRA e POLIDORO (2020).</w:t>
            </w:r>
          </w:p>
        </w:tc>
        <w:tc>
          <w:tcPr>
            <w:tcW w:w="2123" w:type="dxa"/>
            <w:vAlign w:val="center"/>
          </w:tcPr>
          <w:p w14:paraId="40CC0312" w14:textId="77777777" w:rsidR="00986DE4" w:rsidRPr="002F6289" w:rsidRDefault="009409A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  <w:highlight w:val="white"/>
              </w:rPr>
              <w:t>Descrição de medicamentos prescritos para a terapia hormonal em serviços de saúde especializados para transexuais e travestis no Rio Grande do Sul</w:t>
            </w:r>
          </w:p>
        </w:tc>
        <w:tc>
          <w:tcPr>
            <w:tcW w:w="2124" w:type="dxa"/>
            <w:vAlign w:val="center"/>
          </w:tcPr>
          <w:p w14:paraId="6D9EA04E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Descreve os medicamentos prescritos para o tratamento hormonal do processo </w:t>
            </w:r>
            <w:proofErr w:type="spellStart"/>
            <w:r w:rsidRPr="002F6289">
              <w:rPr>
                <w:rFonts w:ascii="Times New Roman" w:hAnsi="Times New Roman" w:cs="Times New Roman"/>
                <w:bCs/>
                <w:sz w:val="20"/>
                <w:szCs w:val="20"/>
              </w:rPr>
              <w:t>transexualizador</w:t>
            </w:r>
            <w:proofErr w:type="spellEnd"/>
            <w:r w:rsidRPr="002F62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em estabelecimentos de saúde de atendimento especializado para pessoas transexuais e travestis no Rio Grande do Sul, Brasil.</w:t>
            </w:r>
          </w:p>
        </w:tc>
        <w:tc>
          <w:tcPr>
            <w:tcW w:w="2124" w:type="dxa"/>
            <w:vAlign w:val="center"/>
          </w:tcPr>
          <w:p w14:paraId="7978B736" w14:textId="77777777" w:rsidR="00986DE4" w:rsidRPr="002F6289" w:rsidRDefault="009409A3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hAnsi="Times New Roman" w:cs="Times New Roman"/>
                <w:bCs/>
                <w:sz w:val="20"/>
                <w:szCs w:val="20"/>
              </w:rPr>
              <w:t>A pesquisa aponta os medicamentos prescritos e sua diversidade, ratificando a necessidade da produção de informação para implementação das políticas de equidade no Sistema Único de Saúde.</w:t>
            </w:r>
          </w:p>
        </w:tc>
      </w:tr>
      <w:tr w:rsidR="00986DE4" w:rsidRPr="002F6289" w14:paraId="4F62EBCA" w14:textId="77777777">
        <w:tc>
          <w:tcPr>
            <w:tcW w:w="2123" w:type="dxa"/>
            <w:vAlign w:val="center"/>
          </w:tcPr>
          <w:p w14:paraId="17A73C21" w14:textId="77777777" w:rsidR="00986DE4" w:rsidRPr="002F6289" w:rsidRDefault="009409A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Pinho et al., (2022)</w:t>
            </w:r>
          </w:p>
        </w:tc>
        <w:tc>
          <w:tcPr>
            <w:tcW w:w="2123" w:type="dxa"/>
            <w:vAlign w:val="center"/>
          </w:tcPr>
          <w:p w14:paraId="05BA8387" w14:textId="77777777" w:rsidR="00986DE4" w:rsidRPr="002F6289" w:rsidRDefault="009409A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highlight w:val="white"/>
              </w:rPr>
            </w:pPr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O papel do farmacêutico no cuidado aos transgêneros: resultados de uma revisão de literatura</w:t>
            </w:r>
          </w:p>
        </w:tc>
        <w:tc>
          <w:tcPr>
            <w:tcW w:w="2124" w:type="dxa"/>
            <w:vAlign w:val="center"/>
          </w:tcPr>
          <w:p w14:paraId="5F5474BC" w14:textId="77777777" w:rsidR="00986DE4" w:rsidRPr="002F6289" w:rsidRDefault="009409A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Identificar o papel do farmacêutico no cuidado às pessoas transexual</w:t>
            </w:r>
          </w:p>
        </w:tc>
        <w:tc>
          <w:tcPr>
            <w:tcW w:w="2124" w:type="dxa"/>
            <w:vAlign w:val="center"/>
          </w:tcPr>
          <w:p w14:paraId="460F2DF5" w14:textId="77777777" w:rsidR="00986DE4" w:rsidRPr="002F6289" w:rsidRDefault="009409A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O artigo trouxe informações relevantes a respeito do cuidado farmacêutico, no </w:t>
            </w:r>
            <w:proofErr w:type="spellStart"/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entnto</w:t>
            </w:r>
            <w:proofErr w:type="spellEnd"/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, pouca informação a respeito se obteve sobressaindo mais as dificuldades enfrentadas e as lacunas do que cuidado propriamente dito.</w:t>
            </w:r>
          </w:p>
        </w:tc>
      </w:tr>
      <w:tr w:rsidR="00986DE4" w:rsidRPr="002F6289" w14:paraId="22DBDD8B" w14:textId="77777777">
        <w:tc>
          <w:tcPr>
            <w:tcW w:w="2123" w:type="dxa"/>
            <w:vAlign w:val="center"/>
          </w:tcPr>
          <w:p w14:paraId="20FC91C8" w14:textId="77777777" w:rsidR="00986DE4" w:rsidRPr="002F6289" w:rsidRDefault="009409A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Silva et al., (2022)</w:t>
            </w:r>
          </w:p>
        </w:tc>
        <w:tc>
          <w:tcPr>
            <w:tcW w:w="2123" w:type="dxa"/>
            <w:vAlign w:val="center"/>
          </w:tcPr>
          <w:p w14:paraId="147160A1" w14:textId="77777777" w:rsidR="00986DE4" w:rsidRPr="002F6289" w:rsidRDefault="009409A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Uso de hormônios não prescritos na modificação corporal de travestis e mulheres transexuais de Salvador/Bahia, Brasil</w:t>
            </w:r>
          </w:p>
        </w:tc>
        <w:tc>
          <w:tcPr>
            <w:tcW w:w="2124" w:type="dxa"/>
            <w:vAlign w:val="center"/>
          </w:tcPr>
          <w:p w14:paraId="5C94B217" w14:textId="77777777" w:rsidR="00986DE4" w:rsidRPr="002F6289" w:rsidRDefault="009409A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Analisar o uso de hormônios não prescritos entre travestis e mulheres transexuais (</w:t>
            </w:r>
            <w:proofErr w:type="spellStart"/>
            <w:r w:rsidRPr="002F628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TrMT</w:t>
            </w:r>
            <w:proofErr w:type="spellEnd"/>
            <w:r w:rsidRPr="002F628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) na cidade de Salvador, Bahia, Brasil.</w:t>
            </w:r>
          </w:p>
        </w:tc>
        <w:tc>
          <w:tcPr>
            <w:tcW w:w="2124" w:type="dxa"/>
            <w:vAlign w:val="center"/>
          </w:tcPr>
          <w:p w14:paraId="4F80FFA3" w14:textId="77777777" w:rsidR="00986DE4" w:rsidRPr="002F6289" w:rsidRDefault="009409A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F62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O uso de substancias sem o acompanhamento e a prescrição medica necessita de um olhar mais firme, pois o estudo revê-la o perigo que parte das pessoas transexuais se expõe por falta de acompanhamento e conhecimento a respeito dos produtos farmacêuticos.</w:t>
            </w:r>
          </w:p>
        </w:tc>
      </w:tr>
    </w:tbl>
    <w:p w14:paraId="67CEE25A" w14:textId="77777777" w:rsidR="00986DE4" w:rsidRPr="002F6289" w:rsidRDefault="009409A3">
      <w:pPr>
        <w:spacing w:after="0" w:line="360" w:lineRule="auto"/>
        <w:jc w:val="center"/>
        <w:rPr>
          <w:rFonts w:ascii="Times New Roman" w:eastAsia="Arial" w:hAnsi="Times New Roman" w:cs="Times New Roman"/>
          <w:bCs/>
          <w:sz w:val="20"/>
          <w:szCs w:val="20"/>
        </w:rPr>
      </w:pPr>
      <w:r w:rsidRPr="002F6289">
        <w:rPr>
          <w:rFonts w:ascii="Times New Roman" w:eastAsia="Arial" w:hAnsi="Times New Roman" w:cs="Times New Roman"/>
          <w:bCs/>
          <w:sz w:val="20"/>
          <w:szCs w:val="20"/>
        </w:rPr>
        <w:t>Elaborado por: Autores (2023).</w:t>
      </w:r>
    </w:p>
    <w:p w14:paraId="06CE9421" w14:textId="77777777" w:rsidR="00986DE4" w:rsidRPr="002F6289" w:rsidRDefault="00986DE4">
      <w:pPr>
        <w:spacing w:after="0" w:line="360" w:lineRule="auto"/>
        <w:jc w:val="center"/>
        <w:rPr>
          <w:rFonts w:ascii="Times New Roman" w:eastAsia="Arial" w:hAnsi="Times New Roman" w:cs="Times New Roman"/>
          <w:bCs/>
          <w:sz w:val="20"/>
          <w:szCs w:val="20"/>
        </w:rPr>
      </w:pPr>
    </w:p>
    <w:p w14:paraId="3E156C03" w14:textId="77777777" w:rsidR="00986DE4" w:rsidRPr="002F6289" w:rsidRDefault="009409A3">
      <w:pPr>
        <w:spacing w:after="0" w:line="360" w:lineRule="auto"/>
        <w:ind w:firstLine="69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F6289">
        <w:rPr>
          <w:rFonts w:ascii="Times New Roman" w:eastAsia="Arial" w:hAnsi="Times New Roman" w:cs="Times New Roman"/>
          <w:sz w:val="24"/>
          <w:szCs w:val="24"/>
        </w:rPr>
        <w:t xml:space="preserve">Diante do contexto do processo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transexualizador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, os estudos realizados por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Roncon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et al (2019) e Augusto, Oliveira e Polidoro (2020) trazem apontamentos </w:t>
      </w:r>
      <w:r w:rsidRPr="002F6289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importantes onde muitos estados brasileiros ainda não possuem habilitação para atuarem no processo de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transexualização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e diante desse objetivo e em contrapartida a isso existe a possibilidade de alguns estados brasileiros  que possuem essa habilitação a esse processo não estarem preparados com equipes multidisciplinares de forma completa para atuarem junto ao acompanhamento das pessoas transexuais. </w:t>
      </w:r>
    </w:p>
    <w:p w14:paraId="56DD8781" w14:textId="77777777" w:rsidR="00986DE4" w:rsidRPr="002F6289" w:rsidRDefault="009409A3">
      <w:pPr>
        <w:spacing w:after="0" w:line="360" w:lineRule="auto"/>
        <w:ind w:firstLine="69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F6289">
        <w:rPr>
          <w:rFonts w:ascii="Times New Roman" w:eastAsia="Arial" w:hAnsi="Times New Roman" w:cs="Times New Roman"/>
          <w:sz w:val="24"/>
          <w:szCs w:val="24"/>
        </w:rPr>
        <w:t xml:space="preserve">O uso de hormônios de forma segura é um dos apontamentos trazidos no estudo de Silva et al (2020), onde o autor retrata que as utilizações destes medicamentos podem trazer qualidade de vida ao indivíduo beneficiado no processo de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transexualização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quando se feito de forma acompanhada. Entretanto, Braz (2019) alega em seu estudo que há uma baixa na quantidade de pessoas transexuais atendidas e que esse dado demonstra o quão difícil é a o acesso ao serviço e há um longo período de espera por atendimento, fazendo com que haja a necessidade de ampliação e oferta para a terapia hormonal racional e segura no cuidado a esses indivíduos.</w:t>
      </w:r>
    </w:p>
    <w:p w14:paraId="0BA44698" w14:textId="77777777" w:rsidR="00986DE4" w:rsidRPr="002F6289" w:rsidRDefault="009409A3">
      <w:pPr>
        <w:spacing w:after="0" w:line="360" w:lineRule="auto"/>
        <w:ind w:firstLine="697"/>
        <w:jc w:val="both"/>
        <w:rPr>
          <w:rFonts w:ascii="Times New Roman" w:eastAsia="Arial" w:hAnsi="Times New Roman" w:cs="Times New Roman"/>
          <w:sz w:val="24"/>
          <w:szCs w:val="24"/>
          <w:highlight w:val="yellow"/>
        </w:rPr>
      </w:pPr>
      <w:r w:rsidRPr="002F6289">
        <w:rPr>
          <w:rFonts w:ascii="Times New Roman" w:eastAsia="Arial" w:hAnsi="Times New Roman" w:cs="Times New Roman"/>
          <w:sz w:val="24"/>
          <w:szCs w:val="24"/>
        </w:rPr>
        <w:t xml:space="preserve">Sendo assim, Augusto, Oliveira e Polidoro (2020) no seu estudo realizaram um levantamento dos principais hormônios prescritos utilizados em pacientes em processo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transexualizador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e de acordo com o Protocolo de Serviço Especializado no Rio Grande do Sul no ano de 2020 os hormônios mais utilizados foram os seguintes representados no quadro 2.</w:t>
      </w:r>
    </w:p>
    <w:p w14:paraId="3834E9D2" w14:textId="77777777" w:rsidR="00986DE4" w:rsidRPr="002F6289" w:rsidRDefault="009409A3">
      <w:pPr>
        <w:spacing w:before="240" w:after="240" w:line="360" w:lineRule="auto"/>
        <w:jc w:val="center"/>
        <w:rPr>
          <w:rFonts w:ascii="Times New Roman" w:eastAsia="Roboto" w:hAnsi="Times New Roman" w:cs="Times New Roman"/>
          <w:color w:val="212121"/>
          <w:sz w:val="24"/>
          <w:szCs w:val="24"/>
        </w:rPr>
      </w:pPr>
      <w:r w:rsidRPr="002F6289">
        <w:rPr>
          <w:rFonts w:ascii="Times New Roman" w:eastAsia="Arial" w:hAnsi="Times New Roman" w:cs="Times New Roman"/>
          <w:sz w:val="24"/>
          <w:szCs w:val="24"/>
        </w:rPr>
        <w:t>Quadro</w:t>
      </w:r>
      <w:r w:rsidRPr="002F6289">
        <w:rPr>
          <w:rFonts w:ascii="Times New Roman" w:eastAsia="Arial" w:hAnsi="Times New Roman" w:cs="Times New Roman"/>
          <w:b/>
          <w:sz w:val="24"/>
          <w:szCs w:val="24"/>
        </w:rPr>
        <w:t xml:space="preserve"> 2-</w:t>
      </w:r>
      <w:r w:rsidRPr="002F6289">
        <w:rPr>
          <w:rFonts w:ascii="Times New Roman" w:eastAsia="Arial" w:hAnsi="Times New Roman" w:cs="Times New Roman"/>
          <w:sz w:val="24"/>
          <w:szCs w:val="24"/>
        </w:rPr>
        <w:t xml:space="preserve"> Medicamentos</w:t>
      </w:r>
      <w:r w:rsidRPr="002F6289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prescritos para usuários (as) atendidos (as) nos estabelecimentos de saúde especializados no atendimento a pessoas transexuais e </w:t>
      </w:r>
      <w:r w:rsidRPr="002F6289">
        <w:rPr>
          <w:rFonts w:ascii="Times New Roman" w:eastAsia="Arial" w:hAnsi="Times New Roman" w:cs="Times New Roman"/>
          <w:sz w:val="24"/>
          <w:szCs w:val="24"/>
        </w:rPr>
        <w:t>travestis, Rio Grande do Sul, 2020.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814"/>
        <w:gridCol w:w="2323"/>
        <w:gridCol w:w="3567"/>
      </w:tblGrid>
      <w:tr w:rsidR="00986DE4" w:rsidRPr="002F6289" w14:paraId="5A340564" w14:textId="77777777">
        <w:tc>
          <w:tcPr>
            <w:tcW w:w="0" w:type="auto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FAE465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b/>
                <w:color w:val="212121"/>
                <w:sz w:val="20"/>
                <w:szCs w:val="20"/>
              </w:rPr>
            </w:pPr>
            <w:r w:rsidRPr="002F6289">
              <w:rPr>
                <w:rFonts w:ascii="Times New Roman" w:eastAsia="Roboto" w:hAnsi="Times New Roman" w:cs="Times New Roman"/>
                <w:b/>
                <w:color w:val="212121"/>
                <w:sz w:val="20"/>
                <w:szCs w:val="20"/>
              </w:rPr>
              <w:t>Usuários (as)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18DEFF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b/>
                <w:color w:val="212121"/>
                <w:sz w:val="20"/>
                <w:szCs w:val="20"/>
              </w:rPr>
            </w:pPr>
            <w:r w:rsidRPr="002F6289">
              <w:rPr>
                <w:rFonts w:ascii="Times New Roman" w:eastAsia="Roboto" w:hAnsi="Times New Roman" w:cs="Times New Roman"/>
                <w:b/>
                <w:color w:val="212121"/>
                <w:sz w:val="20"/>
                <w:szCs w:val="20"/>
              </w:rPr>
              <w:t>Classe de Medicamento e</w:t>
            </w:r>
          </w:p>
          <w:p w14:paraId="192F8A1F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b/>
                <w:color w:val="212121"/>
                <w:sz w:val="20"/>
                <w:szCs w:val="20"/>
              </w:rPr>
            </w:pPr>
            <w:r w:rsidRPr="002F6289">
              <w:rPr>
                <w:rFonts w:ascii="Times New Roman" w:eastAsia="Roboto" w:hAnsi="Times New Roman" w:cs="Times New Roman"/>
                <w:b/>
                <w:color w:val="212121"/>
                <w:sz w:val="20"/>
                <w:szCs w:val="20"/>
              </w:rPr>
              <w:t>via de administração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D2848D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b/>
                <w:color w:val="212121"/>
                <w:sz w:val="20"/>
                <w:szCs w:val="20"/>
              </w:rPr>
            </w:pPr>
            <w:r w:rsidRPr="002F6289">
              <w:rPr>
                <w:rFonts w:ascii="Times New Roman" w:eastAsia="Roboto" w:hAnsi="Times New Roman" w:cs="Times New Roman"/>
                <w:b/>
                <w:color w:val="212121"/>
                <w:sz w:val="20"/>
                <w:szCs w:val="20"/>
              </w:rPr>
              <w:t>Medicamentos</w:t>
            </w:r>
          </w:p>
        </w:tc>
      </w:tr>
      <w:tr w:rsidR="00986DE4" w:rsidRPr="002F6289" w14:paraId="456FBD19" w14:textId="777777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FA3F3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b/>
                <w:color w:val="212121"/>
                <w:sz w:val="20"/>
                <w:szCs w:val="20"/>
              </w:rPr>
            </w:pPr>
          </w:p>
          <w:p w14:paraId="0B0153DC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b/>
                <w:color w:val="212121"/>
                <w:sz w:val="20"/>
                <w:szCs w:val="20"/>
              </w:rPr>
            </w:pPr>
          </w:p>
          <w:p w14:paraId="4CFAC356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b/>
                <w:color w:val="212121"/>
                <w:sz w:val="20"/>
                <w:szCs w:val="20"/>
              </w:rPr>
            </w:pPr>
          </w:p>
          <w:p w14:paraId="4B249EB8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b/>
                <w:color w:val="212121"/>
                <w:sz w:val="20"/>
                <w:szCs w:val="20"/>
              </w:rPr>
            </w:pPr>
          </w:p>
          <w:p w14:paraId="56E9E8EF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b/>
                <w:color w:val="212121"/>
                <w:sz w:val="20"/>
                <w:szCs w:val="20"/>
              </w:rPr>
            </w:pPr>
          </w:p>
          <w:p w14:paraId="669A0ED6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b/>
                <w:color w:val="212121"/>
                <w:sz w:val="20"/>
                <w:szCs w:val="20"/>
              </w:rPr>
            </w:pPr>
          </w:p>
          <w:p w14:paraId="3F3804CE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b/>
                <w:color w:val="212121"/>
                <w:sz w:val="20"/>
                <w:szCs w:val="20"/>
              </w:rPr>
            </w:pPr>
          </w:p>
          <w:p w14:paraId="631D1D3D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b/>
                <w:color w:val="212121"/>
                <w:sz w:val="20"/>
                <w:szCs w:val="20"/>
              </w:rPr>
            </w:pPr>
            <w:r w:rsidRPr="002F6289">
              <w:rPr>
                <w:rFonts w:ascii="Times New Roman" w:eastAsia="Roboto" w:hAnsi="Times New Roman" w:cs="Times New Roman"/>
                <w:b/>
                <w:color w:val="212121"/>
                <w:sz w:val="20"/>
                <w:szCs w:val="20"/>
              </w:rPr>
              <w:t>Mulheres Transexuais e Travestis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79528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</w:p>
          <w:p w14:paraId="2B22243B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</w:p>
          <w:p w14:paraId="57D4B948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  <w:proofErr w:type="spellStart"/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>Antiandrógenos</w:t>
            </w:r>
            <w:proofErr w:type="spellEnd"/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 xml:space="preserve"> </w:t>
            </w:r>
          </w:p>
          <w:p w14:paraId="16D4F4CC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>(Via oral)</w:t>
            </w:r>
          </w:p>
          <w:p w14:paraId="02BFF055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</w:p>
          <w:p w14:paraId="1873A587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</w:p>
          <w:p w14:paraId="27A1EBD0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</w:p>
          <w:p w14:paraId="09E044C9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>Estrógenos</w:t>
            </w:r>
          </w:p>
          <w:p w14:paraId="7BBB8BA9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>(Via oral)</w:t>
            </w:r>
          </w:p>
          <w:p w14:paraId="64E9DEE2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</w:p>
          <w:p w14:paraId="7B18741E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</w:p>
          <w:p w14:paraId="742B91F0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 xml:space="preserve">Estrógenos  </w:t>
            </w:r>
          </w:p>
          <w:p w14:paraId="468AABE2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 xml:space="preserve">(Via </w:t>
            </w:r>
            <w:proofErr w:type="spellStart"/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>transdérmica</w:t>
            </w:r>
            <w:proofErr w:type="spellEnd"/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>)</w:t>
            </w:r>
          </w:p>
          <w:p w14:paraId="50F0D524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</w:p>
          <w:p w14:paraId="422DB054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</w:p>
          <w:p w14:paraId="6DD24FB8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</w:p>
          <w:p w14:paraId="38493171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 xml:space="preserve">Estrógenos + </w:t>
            </w:r>
            <w:proofErr w:type="spellStart"/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>Progestógenos</w:t>
            </w:r>
            <w:proofErr w:type="spellEnd"/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 xml:space="preserve"> </w:t>
            </w:r>
          </w:p>
          <w:p w14:paraId="6AFA8F98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>(Via intramuscular)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3A85D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  <w:proofErr w:type="spellStart"/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lastRenderedPageBreak/>
              <w:t>Ciproterona</w:t>
            </w:r>
            <w:proofErr w:type="spellEnd"/>
          </w:p>
          <w:p w14:paraId="6F3ED239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>Espironolactona</w:t>
            </w:r>
          </w:p>
          <w:p w14:paraId="5813B7C3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  <w:proofErr w:type="spellStart"/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>Finasterida</w:t>
            </w:r>
            <w:proofErr w:type="spellEnd"/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 xml:space="preserve"> </w:t>
            </w:r>
          </w:p>
          <w:p w14:paraId="077D92C7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  <w:proofErr w:type="spellStart"/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>Dutasterida</w:t>
            </w:r>
            <w:proofErr w:type="spellEnd"/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 xml:space="preserve"> </w:t>
            </w:r>
          </w:p>
          <w:p w14:paraId="77749516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  <w:proofErr w:type="spellStart"/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>Ciproterona</w:t>
            </w:r>
            <w:proofErr w:type="spellEnd"/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 xml:space="preserve"> + </w:t>
            </w:r>
            <w:proofErr w:type="spellStart"/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>etinilestradiol</w:t>
            </w:r>
            <w:proofErr w:type="spellEnd"/>
          </w:p>
          <w:p w14:paraId="4E88610E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</w:p>
          <w:p w14:paraId="61003DDC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 xml:space="preserve">Estradiol </w:t>
            </w:r>
          </w:p>
          <w:p w14:paraId="615210B7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>Valerato de Estradiol</w:t>
            </w:r>
          </w:p>
          <w:p w14:paraId="2458169F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</w:p>
          <w:p w14:paraId="626898F1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</w:p>
          <w:p w14:paraId="61C044D1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 xml:space="preserve">Estradiol em gel </w:t>
            </w:r>
          </w:p>
          <w:p w14:paraId="281CFC04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 xml:space="preserve">Estradiol </w:t>
            </w:r>
            <w:proofErr w:type="spellStart"/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>hemi-hidratado</w:t>
            </w:r>
            <w:proofErr w:type="spellEnd"/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 xml:space="preserve"> gel</w:t>
            </w:r>
          </w:p>
          <w:p w14:paraId="7AFCE31E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 xml:space="preserve">Estradiol </w:t>
            </w:r>
            <w:proofErr w:type="spellStart"/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>hemi-hidratado</w:t>
            </w:r>
            <w:proofErr w:type="spellEnd"/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 xml:space="preserve"> adesivo </w:t>
            </w:r>
          </w:p>
          <w:p w14:paraId="52A1E28B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</w:p>
          <w:p w14:paraId="277CD706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  <w:proofErr w:type="spellStart"/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>Noretisterona</w:t>
            </w:r>
            <w:proofErr w:type="spellEnd"/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 xml:space="preserve"> + estradiol</w:t>
            </w:r>
          </w:p>
          <w:p w14:paraId="7B51C390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>Medroxiprogesterona + estradiol</w:t>
            </w:r>
          </w:p>
          <w:p w14:paraId="0AC868F9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  <w:proofErr w:type="spellStart"/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>Algestona</w:t>
            </w:r>
            <w:proofErr w:type="spellEnd"/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>acetofenida</w:t>
            </w:r>
            <w:proofErr w:type="spellEnd"/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 xml:space="preserve"> + </w:t>
            </w:r>
            <w:proofErr w:type="spellStart"/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>enantato</w:t>
            </w:r>
            <w:proofErr w:type="spellEnd"/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 xml:space="preserve"> de estradiol</w:t>
            </w:r>
          </w:p>
        </w:tc>
      </w:tr>
      <w:tr w:rsidR="00986DE4" w:rsidRPr="002F6289" w14:paraId="42FA9FAA" w14:textId="77777777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63B1A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b/>
                <w:color w:val="212121"/>
                <w:sz w:val="20"/>
                <w:szCs w:val="20"/>
              </w:rPr>
            </w:pPr>
          </w:p>
          <w:p w14:paraId="6C06382C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b/>
                <w:color w:val="212121"/>
                <w:sz w:val="20"/>
                <w:szCs w:val="20"/>
              </w:rPr>
            </w:pPr>
          </w:p>
          <w:p w14:paraId="45A5E71F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b/>
                <w:color w:val="212121"/>
                <w:sz w:val="20"/>
                <w:szCs w:val="20"/>
              </w:rPr>
            </w:pPr>
          </w:p>
          <w:p w14:paraId="08A062E9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b/>
                <w:color w:val="212121"/>
                <w:sz w:val="20"/>
                <w:szCs w:val="20"/>
              </w:rPr>
            </w:pPr>
            <w:r w:rsidRPr="002F6289">
              <w:rPr>
                <w:rFonts w:ascii="Times New Roman" w:eastAsia="Roboto" w:hAnsi="Times New Roman" w:cs="Times New Roman"/>
                <w:b/>
                <w:color w:val="212121"/>
                <w:sz w:val="20"/>
                <w:szCs w:val="20"/>
              </w:rPr>
              <w:t xml:space="preserve">Homens Transexuais 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F4589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>Andrógenos</w:t>
            </w:r>
          </w:p>
          <w:p w14:paraId="5B1B57C8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>(Via intramuscular)</w:t>
            </w:r>
          </w:p>
          <w:p w14:paraId="43038AA4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</w:p>
          <w:p w14:paraId="79EAA07F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</w:p>
          <w:p w14:paraId="391C300F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>Andrógenos</w:t>
            </w:r>
          </w:p>
          <w:p w14:paraId="096C761C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 xml:space="preserve">(Via </w:t>
            </w:r>
            <w:proofErr w:type="spellStart"/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>transdérmica</w:t>
            </w:r>
            <w:proofErr w:type="spellEnd"/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BCEAA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  <w:proofErr w:type="spellStart"/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>Cipionato</w:t>
            </w:r>
            <w:proofErr w:type="spellEnd"/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 xml:space="preserve"> de testosterona</w:t>
            </w:r>
          </w:p>
          <w:p w14:paraId="773415F6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  <w:proofErr w:type="spellStart"/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>Undecilato</w:t>
            </w:r>
            <w:proofErr w:type="spellEnd"/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 xml:space="preserve"> de testosterona </w:t>
            </w:r>
          </w:p>
          <w:p w14:paraId="243B8624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 xml:space="preserve">Ésteres combinados de testosterona  </w:t>
            </w:r>
          </w:p>
          <w:p w14:paraId="1A95CBA7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</w:p>
          <w:p w14:paraId="7FB27E76" w14:textId="77777777" w:rsidR="00986DE4" w:rsidRPr="002F6289" w:rsidRDefault="00986DE4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</w:p>
          <w:p w14:paraId="7DAA68ED" w14:textId="77777777" w:rsidR="00986DE4" w:rsidRPr="002F6289" w:rsidRDefault="009409A3">
            <w:pPr>
              <w:widowControl w:val="0"/>
              <w:spacing w:after="0" w:line="240" w:lineRule="auto"/>
              <w:jc w:val="center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  <w:r w:rsidRPr="002F6289"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  <w:t>Testosterona em gel</w:t>
            </w:r>
          </w:p>
          <w:p w14:paraId="0D885A3D" w14:textId="77777777" w:rsidR="00986DE4" w:rsidRPr="002F6289" w:rsidRDefault="00986DE4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color w:val="212121"/>
                <w:sz w:val="20"/>
                <w:szCs w:val="20"/>
              </w:rPr>
            </w:pPr>
          </w:p>
        </w:tc>
      </w:tr>
    </w:tbl>
    <w:p w14:paraId="23CC1DDE" w14:textId="77777777" w:rsidR="00986DE4" w:rsidRPr="002F6289" w:rsidRDefault="009409A3">
      <w:pPr>
        <w:spacing w:after="0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2F6289">
        <w:rPr>
          <w:rFonts w:ascii="Times New Roman" w:eastAsia="Arial" w:hAnsi="Times New Roman" w:cs="Times New Roman"/>
          <w:sz w:val="20"/>
          <w:szCs w:val="20"/>
        </w:rPr>
        <w:t>Adaptado de: Augusto, Oliveira e Polidoro (2020).</w:t>
      </w:r>
    </w:p>
    <w:p w14:paraId="68A290B5" w14:textId="77777777" w:rsidR="00986DE4" w:rsidRPr="002F6289" w:rsidRDefault="00986DE4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3F965F66" w14:textId="6FDEF4AA" w:rsidR="00986DE4" w:rsidRPr="002F6289" w:rsidRDefault="009409A3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F6289">
        <w:rPr>
          <w:rFonts w:ascii="Times New Roman" w:eastAsia="Arial" w:hAnsi="Times New Roman" w:cs="Times New Roman"/>
          <w:sz w:val="24"/>
          <w:szCs w:val="24"/>
        </w:rPr>
        <w:t xml:space="preserve">        O uso destes medicamentos na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hormônioterapia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para </w:t>
      </w:r>
      <w:proofErr w:type="spellStart"/>
      <w:r w:rsidR="002F6289" w:rsidRPr="002F6289">
        <w:rPr>
          <w:rFonts w:ascii="Times New Roman" w:eastAsia="Arial" w:hAnsi="Times New Roman" w:cs="Times New Roman"/>
          <w:sz w:val="24"/>
          <w:szCs w:val="24"/>
        </w:rPr>
        <w:t>transexualização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, quando prescrito e com acompanhamento dos resultados, gera ao organismo tanto benefícios e resultados, que não desaparecerão ao interromper o uso, quanto benefícios reversíveis, estes cessarão ao suspender o uso do hormônio. Além disso, o acompanhamento da terapia hormonal com profissional de saúde capacitado reduz os riscos de reações adversas, bem como também reduz o risco de surgimento de doenças relacionadas ao uso errôneo desse tipo de medicamento. Devido </w:t>
      </w:r>
      <w:r w:rsidR="002F6289" w:rsidRPr="002F6289">
        <w:rPr>
          <w:rFonts w:ascii="Times New Roman" w:eastAsia="Arial" w:hAnsi="Times New Roman" w:cs="Times New Roman"/>
          <w:sz w:val="24"/>
          <w:szCs w:val="24"/>
        </w:rPr>
        <w:t>à</w:t>
      </w:r>
      <w:r w:rsidRPr="002F6289">
        <w:rPr>
          <w:rFonts w:ascii="Times New Roman" w:eastAsia="Arial" w:hAnsi="Times New Roman" w:cs="Times New Roman"/>
          <w:sz w:val="24"/>
          <w:szCs w:val="24"/>
        </w:rPr>
        <w:t xml:space="preserve"> dificuldade de acesso a atendimento especializado no tratamento com hormônios, muitos indivíduos começam a fazer a utilização dos hormônios baseando-se na experiência prévia de outras pessoas transexuais que passaram pelo mesmo processo, como revela o estudo feito por Silva et al (2022) que entrevistou cerca de 127 mulheres transexuais e constatou que 93,9% fizeram uso de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hormônioterapia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sem prescrição médica. </w:t>
      </w:r>
    </w:p>
    <w:p w14:paraId="06D69843" w14:textId="77777777" w:rsidR="00986DE4" w:rsidRPr="002F6289" w:rsidRDefault="009409A3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F6289">
        <w:rPr>
          <w:rFonts w:ascii="Times New Roman" w:eastAsia="Arial" w:hAnsi="Times New Roman" w:cs="Times New Roman"/>
          <w:sz w:val="24"/>
          <w:szCs w:val="24"/>
        </w:rPr>
        <w:t>Os riscos e complicações à saúde com a terapia hormonal evidenciados, são: câncer de mama, trombose venosa profunda, embolia pulmonar, infarto, derrame cerebral,</w:t>
      </w:r>
      <w:r w:rsidRPr="002F6289">
        <w:rPr>
          <w:rFonts w:ascii="Times New Roman" w:eastAsia="Arial" w:hAnsi="Times New Roman" w:cs="Times New Roman"/>
          <w:color w:val="38761D"/>
          <w:sz w:val="24"/>
          <w:szCs w:val="24"/>
        </w:rPr>
        <w:t xml:space="preserve"> </w:t>
      </w:r>
      <w:r w:rsidRPr="002F6289">
        <w:rPr>
          <w:rFonts w:ascii="Times New Roman" w:eastAsia="Arial" w:hAnsi="Times New Roman" w:cs="Times New Roman"/>
          <w:sz w:val="24"/>
          <w:szCs w:val="24"/>
        </w:rPr>
        <w:t>osteoporose</w:t>
      </w:r>
      <w:r w:rsidRPr="002F6289">
        <w:rPr>
          <w:rFonts w:ascii="Times New Roman" w:eastAsia="Arial" w:hAnsi="Times New Roman" w:cs="Times New Roman"/>
          <w:color w:val="38761D"/>
          <w:sz w:val="24"/>
          <w:szCs w:val="24"/>
        </w:rPr>
        <w:t xml:space="preserve">, </w:t>
      </w:r>
      <w:r w:rsidRPr="002F6289">
        <w:rPr>
          <w:rFonts w:ascii="Times New Roman" w:eastAsia="Arial" w:hAnsi="Times New Roman" w:cs="Times New Roman"/>
          <w:sz w:val="24"/>
          <w:szCs w:val="24"/>
        </w:rPr>
        <w:t xml:space="preserve">piora das taxas de colesterol e aumento nas taxas de triglicérides. O uso indiscriminado de hormônios aumenta a chance de problemas sérios de saúde ou pode agravar estes problemas de saúde, caso apareçam no decorrer da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hormônioterapia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. Os efeitos a longo prazo da terapia hormonal ainda estão sendo observados e examinados, sendo necessário um estudo mais aprofundado (PINHO,2022). </w:t>
      </w:r>
    </w:p>
    <w:p w14:paraId="719BEB66" w14:textId="7CD5388B" w:rsidR="00986DE4" w:rsidRPr="002F6289" w:rsidRDefault="009409A3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2F6289">
        <w:rPr>
          <w:rFonts w:ascii="Times New Roman" w:eastAsia="Arial" w:hAnsi="Times New Roman" w:cs="Times New Roman"/>
          <w:sz w:val="24"/>
          <w:szCs w:val="24"/>
        </w:rPr>
        <w:t xml:space="preserve">A participação do farmacêutico desde a </w:t>
      </w:r>
      <w:r w:rsidR="002F6289" w:rsidRPr="002F6289">
        <w:rPr>
          <w:rFonts w:ascii="Times New Roman" w:eastAsia="Arial" w:hAnsi="Times New Roman" w:cs="Times New Roman"/>
          <w:sz w:val="24"/>
          <w:szCs w:val="24"/>
        </w:rPr>
        <w:t>aquisição até</w:t>
      </w:r>
      <w:r w:rsidRPr="002F6289">
        <w:rPr>
          <w:rFonts w:ascii="Times New Roman" w:eastAsia="Arial" w:hAnsi="Times New Roman" w:cs="Times New Roman"/>
          <w:sz w:val="24"/>
          <w:szCs w:val="24"/>
        </w:rPr>
        <w:t xml:space="preserve"> a orientação sobre o uso desses hormônios é muito importante, tendo em vista que predominantemente, são adquiridos nos balcões das farmácias sem prescrição médica, dado demonstrado no </w:t>
      </w:r>
      <w:r w:rsidRPr="002F6289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estudo de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Krüger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et al., (2019) sobre uso de hormônios sem prescrição, que c</w:t>
      </w:r>
      <w:r w:rsidR="002F6289" w:rsidRPr="002F6289">
        <w:rPr>
          <w:rFonts w:ascii="Times New Roman" w:eastAsia="Arial" w:hAnsi="Times New Roman" w:cs="Times New Roman"/>
          <w:sz w:val="24"/>
          <w:szCs w:val="24"/>
        </w:rPr>
        <w:t xml:space="preserve">orrobora a pesquisa produzida </w:t>
      </w:r>
      <w:r w:rsidRPr="002F6289">
        <w:rPr>
          <w:rFonts w:ascii="Times New Roman" w:eastAsia="Arial" w:hAnsi="Times New Roman" w:cs="Times New Roman"/>
          <w:sz w:val="24"/>
          <w:szCs w:val="24"/>
        </w:rPr>
        <w:t xml:space="preserve">Silva et al (2022).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Krüger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(2019) dentro do seu estudo traz que pessoas transexuais não recebem orientação farmacêutica em relação ao medicamento e reforça a necessidade de </w:t>
      </w:r>
      <w:r w:rsidRPr="002F6289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oferecer treinamento para a equipe sobre conceitos e temas pertinentes a este assusto. Vale ressaltar que o farmacêutico também faz parte da equipe multidisciplinar e junto a essa, o trabalho em conjunto torna-</w:t>
      </w:r>
      <w:r w:rsidR="002F6289" w:rsidRPr="002F6289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se essencial</w:t>
      </w:r>
      <w:r w:rsidRPr="002F6289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para o sucesso no tratamento hormonal de </w:t>
      </w:r>
      <w:proofErr w:type="spellStart"/>
      <w:r w:rsidRPr="002F6289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transexualização</w:t>
      </w:r>
      <w:proofErr w:type="spellEnd"/>
      <w:r w:rsidRPr="002F6289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com um atendimento multidisciplinar </w:t>
      </w:r>
      <w:r w:rsidR="002F6289" w:rsidRPr="002F6289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humanizado disponibilizado</w:t>
      </w:r>
      <w:r w:rsidRPr="002F6289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em </w:t>
      </w:r>
      <w:r w:rsidR="002F6289" w:rsidRPr="002F6289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ambulatórios de</w:t>
      </w:r>
      <w:r w:rsidRPr="002F6289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assistência saúde no Sistema Único de Saúde (SUS) garantindo assim a Política Nacional de </w:t>
      </w:r>
      <w:r w:rsidR="002F6289" w:rsidRPr="002F6289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Saúde I</w:t>
      </w:r>
      <w:r w:rsidRPr="002F6289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ntegra</w:t>
      </w:r>
      <w:r w:rsidR="001B333C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l a população LGBTQIAPN+ (</w:t>
      </w:r>
      <w:r w:rsidR="001B333C">
        <w:rPr>
          <w:rFonts w:ascii="Times New Roman" w:eastAsia="Arial" w:hAnsi="Times New Roman" w:cs="Times New Roman"/>
          <w:sz w:val="24"/>
          <w:szCs w:val="24"/>
        </w:rPr>
        <w:t xml:space="preserve">GUIMARÃES et al., </w:t>
      </w:r>
      <w:r w:rsidR="001B333C" w:rsidRPr="002F6289">
        <w:rPr>
          <w:rFonts w:ascii="Times New Roman" w:eastAsia="Arial" w:hAnsi="Times New Roman" w:cs="Times New Roman"/>
          <w:sz w:val="24"/>
          <w:szCs w:val="24"/>
        </w:rPr>
        <w:t>2017)</w:t>
      </w:r>
      <w:r w:rsidR="001B333C">
        <w:rPr>
          <w:rFonts w:ascii="Times New Roman" w:eastAsia="Arial" w:hAnsi="Times New Roman" w:cs="Times New Roman"/>
          <w:sz w:val="24"/>
          <w:szCs w:val="24"/>
        </w:rPr>
        <w:t>.</w:t>
      </w:r>
    </w:p>
    <w:p w14:paraId="05A29694" w14:textId="77777777" w:rsidR="00986DE4" w:rsidRPr="002F6289" w:rsidRDefault="009409A3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F6289">
        <w:rPr>
          <w:rFonts w:ascii="Times New Roman" w:eastAsia="Arial" w:hAnsi="Times New Roman" w:cs="Times New Roman"/>
          <w:sz w:val="24"/>
          <w:szCs w:val="24"/>
        </w:rPr>
        <w:t xml:space="preserve">       Ainda em relação a participação do profissional farmacêutico no acesso aos medicamentos hormonais dentro da equipe multidisciplinar do processo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transexualizador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no SUS, é cabível o desenvolvimento nas ações para agregar conhecimento aos pacientes usuários (as) e profissionais de saúde ao estar fazendo parte da gestão da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hormonização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(BRASIL,2015). Segundo a Lei n° 13.021, de 8 de agosto de 2014, a Assistência Farmacêutica está incluída dentro da Assistência Terapêutica Integral, sendo a Atenção Farmacêutica definida como um conjunto de ações desenvolvidas pelo farmacêutico, voltadas à promoção, proteção e recuperação da saúde, desde o nível individual até o coletivo, tendendo o uso racional de medicamentos (BRASIL, 2014).  </w:t>
      </w:r>
    </w:p>
    <w:p w14:paraId="49775C3E" w14:textId="77777777" w:rsidR="00986DE4" w:rsidRPr="002F6289" w:rsidRDefault="009409A3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F6289">
        <w:rPr>
          <w:rFonts w:ascii="Times New Roman" w:eastAsia="Arial" w:hAnsi="Times New Roman" w:cs="Times New Roman"/>
          <w:sz w:val="24"/>
          <w:szCs w:val="24"/>
        </w:rPr>
        <w:t xml:space="preserve">Desse modo,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Krüger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(2019) também traz em seu trabalho a atenção farmacêutica como sendo representada através da interação direta do farmacêutico com o usuário, em busca de uma farmacoterapia racional com a obtenção de resultados definidos e mensuráveis, voltados para qualidade de vida. De acordo com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Kenezevichi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Viereck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e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Drincic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(2012), essa participação do farmacêutico deve: avaliar e discutir possíveis interações medicamentosas, orientar seus riscos e benefícios, com base em fatores de risco de cada indivíduo, interações fármaco-fármaco na intenção de prevenir complicações na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hormonização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14:paraId="031AA45F" w14:textId="77777777" w:rsidR="00986DE4" w:rsidRPr="002F6289" w:rsidRDefault="009409A3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F6289">
        <w:rPr>
          <w:rFonts w:ascii="Times New Roman" w:eastAsia="Arial" w:hAnsi="Times New Roman" w:cs="Times New Roman"/>
          <w:sz w:val="24"/>
          <w:szCs w:val="24"/>
        </w:rPr>
        <w:t xml:space="preserve">Desse modo, Albuquerque et al., (2013) destacam que a necessidade de reformulações dos espaços de saúde para inclusão da população LGBT depende das transformações no modo de pensar e agir dos profissionais farmacêuticos e de outras áreas da saúde, evidenciando a importância do acesso, do acolhimento e da </w:t>
      </w:r>
      <w:r w:rsidRPr="002F6289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humanização nos serviços de saúde. Para De Lima, et al., (2017) não são só as práticas discriminatórias que afastam o acesso à saúde da população LGBT, mas também a impropriedade da oferta de cuidados. Portanto, Guimarães et al., (2017) corrobora que a atenção básica é apontada como porta de entrada preferencial do SUS como ponto de partida para acolher de forma humanizada essa população, desde o acesso até o atendimento integral, superando práticas de saúde preconceituosas e discriminatórias.  </w:t>
      </w:r>
    </w:p>
    <w:p w14:paraId="30208EEE" w14:textId="77777777" w:rsidR="00986DE4" w:rsidRPr="002F6289" w:rsidRDefault="009409A3">
      <w:pPr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bookmarkStart w:id="1" w:name="_heading=h.1pst8vae01jj" w:colFirst="0" w:colLast="0"/>
      <w:bookmarkStart w:id="2" w:name="_heading=h.e56k8scf66ii" w:colFirst="0" w:colLast="0"/>
      <w:bookmarkStart w:id="3" w:name="_heading=h.jazlj3a3atb2" w:colFirst="0" w:colLast="0"/>
      <w:bookmarkStart w:id="4" w:name="_heading=h.9hu7vufc47j6" w:colFirst="0" w:colLast="0"/>
      <w:bookmarkStart w:id="5" w:name="_heading=h.3v6rzehyj1p5" w:colFirst="0" w:colLast="0"/>
      <w:bookmarkStart w:id="6" w:name="_heading=h.ge6p4qwo4wz7" w:colFirst="0" w:colLast="0"/>
      <w:bookmarkStart w:id="7" w:name="_heading=h.8hq0x2i782kd" w:colFirst="0" w:colLast="0"/>
      <w:bookmarkStart w:id="8" w:name="_heading=h.b4sz2myelmor" w:colFirst="0" w:colLast="0"/>
      <w:bookmarkStart w:id="9" w:name="_heading=h.4hu0isphdv11" w:colFirst="0" w:colLast="0"/>
      <w:bookmarkStart w:id="10" w:name="_heading=h.ygqfhpp2jwka" w:colFirst="0" w:colLast="0"/>
      <w:bookmarkStart w:id="11" w:name="_heading=h.x1cbh9l7vcdr" w:colFirst="0" w:colLast="0"/>
      <w:bookmarkStart w:id="12" w:name="_heading=h.asetyi4q9x5c" w:colFirst="0" w:colLast="0"/>
      <w:bookmarkStart w:id="13" w:name="_heading=h.e8za8jdj9z5u" w:colFirst="0" w:colLast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  </w:t>
      </w:r>
    </w:p>
    <w:p w14:paraId="6C17FFB3" w14:textId="77777777" w:rsidR="00986DE4" w:rsidRPr="002F6289" w:rsidRDefault="009409A3">
      <w:pPr>
        <w:spacing w:after="0" w:line="360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2F6289">
        <w:rPr>
          <w:rFonts w:ascii="Times New Roman" w:eastAsia="Arial" w:hAnsi="Times New Roman" w:cs="Times New Roman"/>
          <w:b/>
          <w:sz w:val="24"/>
          <w:szCs w:val="24"/>
        </w:rPr>
        <w:t xml:space="preserve">6 CONSIDERAÇÕES FINAIS  </w:t>
      </w:r>
    </w:p>
    <w:p w14:paraId="6FB9728E" w14:textId="77777777" w:rsidR="00986DE4" w:rsidRPr="002F6289" w:rsidRDefault="00986DE4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86CAD98" w14:textId="77777777" w:rsidR="00986DE4" w:rsidRPr="002F6289" w:rsidRDefault="009409A3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F6289">
        <w:rPr>
          <w:rFonts w:ascii="Times New Roman" w:eastAsia="Arial" w:hAnsi="Times New Roman" w:cs="Times New Roman"/>
          <w:sz w:val="24"/>
          <w:szCs w:val="24"/>
        </w:rPr>
        <w:t xml:space="preserve">A oferta do processo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transexualizador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nos estados brasileiros ainda possuem estigmas de muitos desafios e ajustes, sendo necessário o replanejamento de políticas públicas e financiamento viável para acomodação e integralidade das pessoas transexuais. Sendo assim cabe aos profissionais farmacêuticos inseridos no âmbito do SUS ou no sistema privado, como por exemplo nas drogarias, trazerem educação em saúde e prover esse cuidado no uso racional dos medicamentos. </w:t>
      </w:r>
    </w:p>
    <w:p w14:paraId="3C4C6B5F" w14:textId="77777777" w:rsidR="00986DE4" w:rsidRPr="002F6289" w:rsidRDefault="009409A3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F6289">
        <w:rPr>
          <w:rFonts w:ascii="Times New Roman" w:eastAsia="Arial" w:hAnsi="Times New Roman" w:cs="Times New Roman"/>
          <w:sz w:val="24"/>
          <w:szCs w:val="24"/>
        </w:rPr>
        <w:t xml:space="preserve">Essa participação do profissional farmacêutico pode diminuir </w:t>
      </w:r>
      <w:r w:rsidRPr="002F6289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a frequência dos problemas relacionados</w:t>
      </w:r>
      <w:r w:rsidRPr="002F6289">
        <w:rPr>
          <w:rFonts w:ascii="Times New Roman" w:eastAsia="Arial" w:hAnsi="Times New Roman" w:cs="Times New Roman"/>
          <w:sz w:val="24"/>
          <w:szCs w:val="24"/>
        </w:rPr>
        <w:t xml:space="preserve"> com medicamentos bem como o melhoramento da interação profissional e paciente que tem por finalidade o estreitamento do vínculo para melhor cuidado. Além disso a participação na disponibilização desses medicamentos faz parte de uma gestão de medicamentos que é uma atribuição inerente ao profissional dentro do ciclo da assistência farmacêutica. Portanto, a construção desse trabalho viu a necessidade da elaboração de mais pesquisas como essas, que merecem ter um direcionamento maior para melhor qualidade e quantidade nas publicações mediante a uma ótica voltada para o cuidado e humanização.</w:t>
      </w:r>
    </w:p>
    <w:p w14:paraId="5ABFFC78" w14:textId="77777777" w:rsidR="00986DE4" w:rsidRPr="002F6289" w:rsidRDefault="00986DE4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2456316" w14:textId="77777777" w:rsidR="00986DE4" w:rsidRPr="002F6289" w:rsidRDefault="00986DE4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AF6EE28" w14:textId="77777777" w:rsidR="00986DE4" w:rsidRPr="002F6289" w:rsidRDefault="009409A3">
      <w:pPr>
        <w:spacing w:after="0" w:line="360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2F6289">
        <w:rPr>
          <w:rFonts w:ascii="Times New Roman" w:eastAsia="Arial" w:hAnsi="Times New Roman" w:cs="Times New Roman"/>
          <w:b/>
          <w:sz w:val="24"/>
          <w:szCs w:val="24"/>
        </w:rPr>
        <w:t>REFERÊNCIAS</w:t>
      </w:r>
    </w:p>
    <w:p w14:paraId="3E1B199F" w14:textId="77777777" w:rsidR="00986DE4" w:rsidRPr="002F6289" w:rsidRDefault="00986DE4">
      <w:pPr>
        <w:shd w:val="clear" w:color="auto" w:fill="FFFFFF" w:themeFill="background1"/>
        <w:spacing w:after="12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30B2BF3B" w14:textId="77777777" w:rsidR="00986DE4" w:rsidRPr="002F6289" w:rsidRDefault="009409A3">
      <w:pPr>
        <w:shd w:val="clear" w:color="auto" w:fill="FFFFFF" w:themeFill="background1"/>
        <w:spacing w:after="24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2F6289">
        <w:rPr>
          <w:rFonts w:ascii="Times New Roman" w:eastAsia="Arial" w:hAnsi="Times New Roman" w:cs="Times New Roman"/>
          <w:sz w:val="24"/>
          <w:szCs w:val="24"/>
        </w:rPr>
        <w:t xml:space="preserve">Albuquerque,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Grayce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Alencar et al. Homossexualidade e o direito à saúde: um desafio para as políticas públicas de saúde no Brasil. </w:t>
      </w:r>
      <w:r w:rsidRPr="002F6289">
        <w:rPr>
          <w:rFonts w:ascii="Times New Roman" w:eastAsia="Arial" w:hAnsi="Times New Roman" w:cs="Times New Roman"/>
          <w:b/>
          <w:sz w:val="24"/>
          <w:szCs w:val="24"/>
        </w:rPr>
        <w:t>Saúde em Debate</w:t>
      </w:r>
      <w:r w:rsidRPr="002F6289">
        <w:rPr>
          <w:rFonts w:ascii="Times New Roman" w:eastAsia="Arial" w:hAnsi="Times New Roman" w:cs="Times New Roman"/>
          <w:sz w:val="24"/>
          <w:szCs w:val="24"/>
        </w:rPr>
        <w:t xml:space="preserve">. v. 37, n. 98, pp. 516-524, 2013. Disponível em: &lt;&gt;.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Epub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31 Jan 2014. ISSN 2358-2898.</w:t>
      </w:r>
    </w:p>
    <w:p w14:paraId="545F0570" w14:textId="77777777" w:rsidR="00986DE4" w:rsidRPr="002F6289" w:rsidRDefault="009409A3">
      <w:pPr>
        <w:shd w:val="clear" w:color="auto" w:fill="FFFFFF" w:themeFill="background1"/>
        <w:spacing w:after="24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2F6289">
        <w:rPr>
          <w:rFonts w:ascii="Times New Roman" w:eastAsia="Arial" w:hAnsi="Times New Roman" w:cs="Times New Roman"/>
          <w:sz w:val="24"/>
          <w:szCs w:val="24"/>
        </w:rPr>
        <w:t xml:space="preserve">Augusto,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Rosiane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Mateus, Oliveira, Daniel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Canavese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de e Polidoro, Maurício. Descrição de medicamentos prescritos para a terapia hormonal em serviços de saúde </w:t>
      </w:r>
      <w:r w:rsidRPr="002F6289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especializados para transexuais e travestis no Rio Grande do Sul, 2020. </w:t>
      </w:r>
      <w:r w:rsidRPr="002F6289">
        <w:rPr>
          <w:rFonts w:ascii="Times New Roman" w:eastAsia="Arial" w:hAnsi="Times New Roman" w:cs="Times New Roman"/>
          <w:b/>
          <w:sz w:val="24"/>
          <w:szCs w:val="24"/>
        </w:rPr>
        <w:t>Epidemiologia e Serviços de Saúde</w:t>
      </w:r>
      <w:r w:rsidRPr="002F6289">
        <w:rPr>
          <w:rFonts w:ascii="Times New Roman" w:eastAsia="Arial" w:hAnsi="Times New Roman" w:cs="Times New Roman"/>
          <w:sz w:val="24"/>
          <w:szCs w:val="24"/>
        </w:rPr>
        <w:t xml:space="preserve"> [online]. v. 31, n. 1 [Acessado 23 Novembro 2022</w:t>
      </w:r>
      <w:proofErr w:type="gramStart"/>
      <w:r w:rsidRPr="002F6289">
        <w:rPr>
          <w:rFonts w:ascii="Times New Roman" w:eastAsia="Arial" w:hAnsi="Times New Roman" w:cs="Times New Roman"/>
          <w:sz w:val="24"/>
          <w:szCs w:val="24"/>
        </w:rPr>
        <w:t>] ,</w:t>
      </w:r>
      <w:proofErr w:type="gram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e2021502,2022.  </w:t>
      </w:r>
    </w:p>
    <w:p w14:paraId="5C606CB5" w14:textId="77777777" w:rsidR="00986DE4" w:rsidRPr="002F6289" w:rsidRDefault="009409A3">
      <w:pPr>
        <w:shd w:val="clear" w:color="auto" w:fill="FFFFFF" w:themeFill="background1"/>
        <w:spacing w:after="24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2F6289">
        <w:rPr>
          <w:rFonts w:ascii="Times New Roman" w:eastAsia="Arial" w:hAnsi="Times New Roman" w:cs="Times New Roman"/>
          <w:sz w:val="24"/>
          <w:szCs w:val="24"/>
        </w:rPr>
        <w:t xml:space="preserve">BRASIL. Planalto. </w:t>
      </w:r>
      <w:r w:rsidRPr="002F6289">
        <w:rPr>
          <w:rFonts w:ascii="Times New Roman" w:eastAsia="Arial" w:hAnsi="Times New Roman" w:cs="Times New Roman"/>
          <w:b/>
          <w:sz w:val="24"/>
          <w:szCs w:val="24"/>
        </w:rPr>
        <w:t>Lei N° 13.021, de 08 de agosto de 2014. Dispõe sobre o exercício e a fiscalização das atividades farmacêuticas</w:t>
      </w:r>
      <w:r w:rsidRPr="002F6289">
        <w:rPr>
          <w:rFonts w:ascii="Times New Roman" w:eastAsia="Arial" w:hAnsi="Times New Roman" w:cs="Times New Roman"/>
          <w:sz w:val="24"/>
          <w:szCs w:val="24"/>
        </w:rPr>
        <w:t>. Disponível em: &lt;https://www.planalto.gov.br/ccivil_03/_ato2011-2014/2014/lei/l13021.htm&gt; Acessado em: 30 de out. de 2020.</w:t>
      </w:r>
    </w:p>
    <w:p w14:paraId="7A373F7B" w14:textId="77777777" w:rsidR="00986DE4" w:rsidRPr="002F6289" w:rsidRDefault="009409A3">
      <w:pPr>
        <w:shd w:val="clear" w:color="auto" w:fill="FFFFFF" w:themeFill="background1"/>
        <w:spacing w:after="240" w:line="240" w:lineRule="auto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BRASIL.Ministério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da Saúde. </w:t>
      </w:r>
      <w:r w:rsidRPr="002F6289">
        <w:rPr>
          <w:rFonts w:ascii="Times New Roman" w:eastAsia="Arial" w:hAnsi="Times New Roman" w:cs="Times New Roman"/>
          <w:b/>
          <w:sz w:val="24"/>
          <w:szCs w:val="24"/>
        </w:rPr>
        <w:t xml:space="preserve">Transexualidade e </w:t>
      </w:r>
      <w:proofErr w:type="spellStart"/>
      <w:r w:rsidRPr="002F6289">
        <w:rPr>
          <w:rFonts w:ascii="Times New Roman" w:eastAsia="Arial" w:hAnsi="Times New Roman" w:cs="Times New Roman"/>
          <w:b/>
          <w:sz w:val="24"/>
          <w:szCs w:val="24"/>
        </w:rPr>
        <w:t>Travestilidade</w:t>
      </w:r>
      <w:proofErr w:type="spellEnd"/>
      <w:r w:rsidRPr="002F6289">
        <w:rPr>
          <w:rFonts w:ascii="Times New Roman" w:eastAsia="Arial" w:hAnsi="Times New Roman" w:cs="Times New Roman"/>
          <w:b/>
          <w:sz w:val="24"/>
          <w:szCs w:val="24"/>
        </w:rPr>
        <w:t xml:space="preserve"> na Saúde</w:t>
      </w:r>
      <w:r w:rsidRPr="002F6289">
        <w:rPr>
          <w:rFonts w:ascii="Times New Roman" w:eastAsia="Arial" w:hAnsi="Times New Roman" w:cs="Times New Roman"/>
          <w:sz w:val="24"/>
          <w:szCs w:val="24"/>
        </w:rPr>
        <w:t>. 2015. Disponívelem:&lt;</w:t>
      </w:r>
      <w:hyperlink r:id="rId8">
        <w:r w:rsidRPr="002F6289">
          <w:rPr>
            <w:rFonts w:ascii="Times New Roman" w:eastAsia="Arial" w:hAnsi="Times New Roman" w:cs="Times New Roman"/>
            <w:sz w:val="24"/>
            <w:szCs w:val="24"/>
          </w:rPr>
          <w:t>https://bvsms.saude.gov.br/bvs/publicacoes/transexualidade_travestilidade_saude.pdf</w:t>
        </w:r>
      </w:hyperlink>
      <w:r w:rsidRPr="002F6289">
        <w:rPr>
          <w:rFonts w:ascii="Times New Roman" w:eastAsia="Arial" w:hAnsi="Times New Roman" w:cs="Times New Roman"/>
          <w:sz w:val="24"/>
          <w:szCs w:val="24"/>
        </w:rPr>
        <w:t>&gt; Acesso em: 28 de set. de 2022.</w:t>
      </w:r>
    </w:p>
    <w:p w14:paraId="348B48D2" w14:textId="77777777" w:rsidR="00986DE4" w:rsidRPr="002F6289" w:rsidRDefault="009409A3">
      <w:pPr>
        <w:shd w:val="clear" w:color="auto" w:fill="FFFFFF" w:themeFill="background1"/>
        <w:spacing w:after="240" w:line="240" w:lineRule="auto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BRASIL.Ministério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da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Saúde.Portaria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N°457, de 19 de agosto de 2008.</w:t>
      </w:r>
      <w:r w:rsidRPr="002F6289">
        <w:rPr>
          <w:rFonts w:ascii="Times New Roman" w:eastAsia="Arial" w:hAnsi="Times New Roman" w:cs="Times New Roman"/>
          <w:b/>
          <w:sz w:val="24"/>
          <w:szCs w:val="24"/>
        </w:rPr>
        <w:t xml:space="preserve">Regulamentação do Processo </w:t>
      </w:r>
      <w:proofErr w:type="spellStart"/>
      <w:r w:rsidRPr="002F6289">
        <w:rPr>
          <w:rFonts w:ascii="Times New Roman" w:eastAsia="Arial" w:hAnsi="Times New Roman" w:cs="Times New Roman"/>
          <w:b/>
          <w:sz w:val="24"/>
          <w:szCs w:val="24"/>
        </w:rPr>
        <w:t>Transexualizador</w:t>
      </w:r>
      <w:proofErr w:type="spellEnd"/>
      <w:r w:rsidRPr="002F6289">
        <w:rPr>
          <w:rFonts w:ascii="Times New Roman" w:eastAsia="Arial" w:hAnsi="Times New Roman" w:cs="Times New Roman"/>
          <w:b/>
          <w:sz w:val="24"/>
          <w:szCs w:val="24"/>
        </w:rPr>
        <w:t xml:space="preserve"> no âmbito do Sistema Único de saúde - </w:t>
      </w:r>
      <w:proofErr w:type="spellStart"/>
      <w:r w:rsidRPr="002F6289">
        <w:rPr>
          <w:rFonts w:ascii="Times New Roman" w:eastAsia="Arial" w:hAnsi="Times New Roman" w:cs="Times New Roman"/>
          <w:b/>
          <w:sz w:val="24"/>
          <w:szCs w:val="24"/>
        </w:rPr>
        <w:t>SUS</w:t>
      </w:r>
      <w:r w:rsidRPr="002F6289">
        <w:rPr>
          <w:rFonts w:ascii="Times New Roman" w:eastAsia="Arial" w:hAnsi="Times New Roman" w:cs="Times New Roman"/>
          <w:sz w:val="24"/>
          <w:szCs w:val="24"/>
        </w:rPr>
        <w:t>.Disponível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em: &lt;https://bvsms.saude.gov.br/bvs/saudelegis/sas/2008/prt0457_19_08_2008.html&gt; Acesso em: 16 de set. de 2022.</w:t>
      </w:r>
    </w:p>
    <w:p w14:paraId="5E7572EF" w14:textId="77777777" w:rsidR="00986DE4" w:rsidRPr="002F6289" w:rsidRDefault="009409A3">
      <w:pPr>
        <w:shd w:val="clear" w:color="auto" w:fill="FFFFFF" w:themeFill="background1"/>
        <w:spacing w:after="240" w:line="240" w:lineRule="auto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BRASIL.</w:t>
      </w:r>
      <w:r w:rsidRPr="002F6289">
        <w:rPr>
          <w:rFonts w:ascii="Times New Roman" w:eastAsia="Arial" w:hAnsi="Times New Roman" w:cs="Times New Roman"/>
          <w:b/>
          <w:sz w:val="24"/>
          <w:szCs w:val="24"/>
        </w:rPr>
        <w:t>Sociedade</w:t>
      </w:r>
      <w:proofErr w:type="spellEnd"/>
      <w:r w:rsidRPr="002F6289">
        <w:rPr>
          <w:rFonts w:ascii="Times New Roman" w:eastAsia="Arial" w:hAnsi="Times New Roman" w:cs="Times New Roman"/>
          <w:b/>
          <w:sz w:val="24"/>
          <w:szCs w:val="24"/>
        </w:rPr>
        <w:t xml:space="preserve"> Brasileira de </w:t>
      </w:r>
      <w:proofErr w:type="spellStart"/>
      <w:r w:rsidRPr="002F6289">
        <w:rPr>
          <w:rFonts w:ascii="Times New Roman" w:eastAsia="Arial" w:hAnsi="Times New Roman" w:cs="Times New Roman"/>
          <w:b/>
          <w:sz w:val="24"/>
          <w:szCs w:val="24"/>
        </w:rPr>
        <w:t>Pediatria.Guia</w:t>
      </w:r>
      <w:proofErr w:type="spellEnd"/>
      <w:r w:rsidRPr="002F6289">
        <w:rPr>
          <w:rFonts w:ascii="Times New Roman" w:eastAsia="Arial" w:hAnsi="Times New Roman" w:cs="Times New Roman"/>
          <w:b/>
          <w:sz w:val="24"/>
          <w:szCs w:val="24"/>
        </w:rPr>
        <w:t xml:space="preserve"> Prático de Atualização.</w:t>
      </w:r>
      <w:r w:rsidRPr="002F6289">
        <w:rPr>
          <w:rFonts w:ascii="Times New Roman" w:eastAsia="Arial" w:hAnsi="Times New Roman" w:cs="Times New Roman"/>
          <w:sz w:val="24"/>
          <w:szCs w:val="24"/>
        </w:rPr>
        <w:t xml:space="preserve"> 2017. Disponível em:&lt;</w:t>
      </w:r>
      <w:hyperlink r:id="rId9">
        <w:r w:rsidRPr="002F6289">
          <w:rPr>
            <w:rFonts w:ascii="Times New Roman" w:eastAsia="Arial" w:hAnsi="Times New Roman" w:cs="Times New Roman"/>
            <w:sz w:val="24"/>
            <w:szCs w:val="24"/>
          </w:rPr>
          <w:t>https://www.sbp.com.br/fileadmin/user_upload/19706c-GP_-_Disforia_de_Genero.pdf</w:t>
        </w:r>
      </w:hyperlink>
      <w:r w:rsidRPr="002F6289">
        <w:rPr>
          <w:rFonts w:ascii="Times New Roman" w:eastAsia="Arial" w:hAnsi="Times New Roman" w:cs="Times New Roman"/>
          <w:sz w:val="24"/>
          <w:szCs w:val="24"/>
        </w:rPr>
        <w:t>&gt; Acesso em: 15 de set. de 2022.</w:t>
      </w:r>
    </w:p>
    <w:p w14:paraId="5AC72213" w14:textId="77777777" w:rsidR="00986DE4" w:rsidRPr="002F6289" w:rsidRDefault="009409A3">
      <w:pPr>
        <w:shd w:val="clear" w:color="auto" w:fill="FFFFFF" w:themeFill="background1"/>
        <w:spacing w:after="240" w:line="240" w:lineRule="auto"/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</w:pPr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 xml:space="preserve">BRAZ, Camilo. Vidas que esperam? Itinerários do acesso a serviços de saúde para homens </w:t>
      </w:r>
      <w:proofErr w:type="spellStart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>trans</w:t>
      </w:r>
      <w:proofErr w:type="spellEnd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 xml:space="preserve"> no Brasil e na Argentina. </w:t>
      </w:r>
      <w:r w:rsidRPr="002F6289">
        <w:rPr>
          <w:rStyle w:val="Forte"/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>Cadernos de Saúde Pública</w:t>
      </w:r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 xml:space="preserve">, [S.L.], v. 35, n. 4, 2019. </w:t>
      </w:r>
      <w:proofErr w:type="spellStart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>FapUNIFESP</w:t>
      </w:r>
      <w:proofErr w:type="spellEnd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 xml:space="preserve"> (</w:t>
      </w:r>
      <w:proofErr w:type="spellStart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>SciELO</w:t>
      </w:r>
      <w:proofErr w:type="spellEnd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>). http://dx.doi.org/10.1590/0102-311x00110518</w:t>
      </w:r>
    </w:p>
    <w:p w14:paraId="24731848" w14:textId="77777777" w:rsidR="00986DE4" w:rsidRPr="002F6289" w:rsidRDefault="009409A3">
      <w:pPr>
        <w:shd w:val="clear" w:color="auto" w:fill="FFFFFF" w:themeFill="background1"/>
        <w:spacing w:after="24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6289">
        <w:rPr>
          <w:rFonts w:ascii="Times New Roman" w:hAnsi="Times New Roman" w:cs="Times New Roman"/>
          <w:color w:val="000000"/>
          <w:sz w:val="24"/>
          <w:szCs w:val="24"/>
        </w:rPr>
        <w:t>DE LIMA, T. N. B. et al. Atenção à Saúde da População LGBT numa capital nordestina. </w:t>
      </w:r>
      <w:r w:rsidRPr="002F6289">
        <w:rPr>
          <w:rFonts w:ascii="Times New Roman" w:hAnsi="Times New Roman" w:cs="Times New Roman"/>
          <w:b/>
          <w:color w:val="000000"/>
          <w:sz w:val="24"/>
          <w:szCs w:val="24"/>
        </w:rPr>
        <w:t>Revista Eletrônica Acervo Saúde</w:t>
      </w:r>
      <w:r w:rsidRPr="002F6289">
        <w:rPr>
          <w:rFonts w:ascii="Times New Roman" w:hAnsi="Times New Roman" w:cs="Times New Roman"/>
          <w:color w:val="000000"/>
          <w:sz w:val="24"/>
          <w:szCs w:val="24"/>
        </w:rPr>
        <w:t>, n. 34, p. e1410, 23 out. 2019.</w:t>
      </w:r>
    </w:p>
    <w:p w14:paraId="6E7752C7" w14:textId="77777777" w:rsidR="00986DE4" w:rsidRPr="002F6289" w:rsidRDefault="009409A3">
      <w:pPr>
        <w:shd w:val="clear" w:color="auto" w:fill="FFFFFF" w:themeFill="background1"/>
        <w:spacing w:after="24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2F6289">
        <w:rPr>
          <w:rFonts w:ascii="Times New Roman" w:eastAsia="Arial" w:hAnsi="Times New Roman" w:cs="Times New Roman"/>
          <w:sz w:val="24"/>
          <w:szCs w:val="24"/>
        </w:rPr>
        <w:t xml:space="preserve">Disponível em: &lt;https://doi.org/10.1590/S1679-49742022000100027&gt;.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Epub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06 </w:t>
      </w:r>
      <w:proofErr w:type="gramStart"/>
      <w:r w:rsidRPr="002F6289">
        <w:rPr>
          <w:rFonts w:ascii="Times New Roman" w:eastAsia="Arial" w:hAnsi="Times New Roman" w:cs="Times New Roman"/>
          <w:sz w:val="24"/>
          <w:szCs w:val="24"/>
        </w:rPr>
        <w:t>Maio</w:t>
      </w:r>
      <w:proofErr w:type="gramEnd"/>
      <w:r w:rsidRPr="002F6289">
        <w:rPr>
          <w:rFonts w:ascii="Times New Roman" w:eastAsia="Arial" w:hAnsi="Times New Roman" w:cs="Times New Roman"/>
          <w:sz w:val="24"/>
          <w:szCs w:val="24"/>
        </w:rPr>
        <w:t> 2022. ISSN 2237-9622. https://doi.org/10.1590/S1679-49742022000100027.</w:t>
      </w:r>
    </w:p>
    <w:p w14:paraId="72AF8736" w14:textId="77777777" w:rsidR="00986DE4" w:rsidRPr="002F6289" w:rsidRDefault="009409A3">
      <w:pPr>
        <w:shd w:val="clear" w:color="auto" w:fill="FFFFFF" w:themeFill="background1"/>
        <w:spacing w:after="24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2F6289">
        <w:rPr>
          <w:rFonts w:ascii="Times New Roman" w:eastAsia="Arial" w:hAnsi="Times New Roman" w:cs="Times New Roman"/>
          <w:sz w:val="24"/>
          <w:szCs w:val="24"/>
        </w:rPr>
        <w:t xml:space="preserve">GRUNDMANN, Oliver et al. The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Pharmacist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as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an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LGBTQ Ally. </w:t>
      </w:r>
      <w:r w:rsidRPr="002F6289">
        <w:rPr>
          <w:rFonts w:ascii="Times New Roman" w:eastAsia="Arial" w:hAnsi="Times New Roman" w:cs="Times New Roman"/>
          <w:b/>
          <w:sz w:val="24"/>
          <w:szCs w:val="24"/>
        </w:rPr>
        <w:t xml:space="preserve">American </w:t>
      </w:r>
      <w:proofErr w:type="spellStart"/>
      <w:r w:rsidRPr="002F6289">
        <w:rPr>
          <w:rFonts w:ascii="Times New Roman" w:eastAsia="Arial" w:hAnsi="Times New Roman" w:cs="Times New Roman"/>
          <w:b/>
          <w:sz w:val="24"/>
          <w:szCs w:val="24"/>
        </w:rPr>
        <w:t>Journal</w:t>
      </w:r>
      <w:proofErr w:type="spellEnd"/>
      <w:r w:rsidRPr="002F6289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proofErr w:type="spellStart"/>
      <w:r w:rsidRPr="002F6289">
        <w:rPr>
          <w:rFonts w:ascii="Times New Roman" w:eastAsia="Arial" w:hAnsi="Times New Roman" w:cs="Times New Roman"/>
          <w:b/>
          <w:sz w:val="24"/>
          <w:szCs w:val="24"/>
        </w:rPr>
        <w:t>of</w:t>
      </w:r>
      <w:proofErr w:type="spellEnd"/>
      <w:r w:rsidRPr="002F6289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proofErr w:type="spellStart"/>
      <w:r w:rsidRPr="002F6289">
        <w:rPr>
          <w:rFonts w:ascii="Times New Roman" w:eastAsia="Arial" w:hAnsi="Times New Roman" w:cs="Times New Roman"/>
          <w:b/>
          <w:sz w:val="24"/>
          <w:szCs w:val="24"/>
        </w:rPr>
        <w:t>Pharmaceutical</w:t>
      </w:r>
      <w:proofErr w:type="spellEnd"/>
      <w:r w:rsidRPr="002F6289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proofErr w:type="spellStart"/>
      <w:r w:rsidRPr="002F6289">
        <w:rPr>
          <w:rFonts w:ascii="Times New Roman" w:eastAsia="Arial" w:hAnsi="Times New Roman" w:cs="Times New Roman"/>
          <w:b/>
          <w:sz w:val="24"/>
          <w:szCs w:val="24"/>
        </w:rPr>
        <w:t>Education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>, v. 84, n. 7.2020. Disponível em:&lt;https://www.ajpe.org/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content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>/84/7/ajpe7835.abstract&gt; Acesso em: 14 set. 2022.</w:t>
      </w:r>
    </w:p>
    <w:p w14:paraId="52E32A9C" w14:textId="77777777" w:rsidR="00986DE4" w:rsidRPr="002F6289" w:rsidRDefault="009409A3">
      <w:pPr>
        <w:shd w:val="clear" w:color="auto" w:fill="FFFFFF" w:themeFill="background1"/>
        <w:spacing w:after="24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2F6289">
        <w:rPr>
          <w:rFonts w:ascii="Times New Roman" w:eastAsia="Arial" w:hAnsi="Times New Roman" w:cs="Times New Roman"/>
          <w:sz w:val="24"/>
          <w:szCs w:val="24"/>
        </w:rPr>
        <w:t xml:space="preserve">GUIMARÃES RCP, et al. Assistência à saúde da população LGBT em uma capital brasileira: o que dizem os Agentes Comunitários de Saúde? </w:t>
      </w:r>
      <w:r w:rsidRPr="002F6289">
        <w:rPr>
          <w:rFonts w:ascii="Times New Roman" w:eastAsia="Arial" w:hAnsi="Times New Roman" w:cs="Times New Roman"/>
          <w:b/>
          <w:sz w:val="24"/>
          <w:szCs w:val="24"/>
        </w:rPr>
        <w:t xml:space="preserve">Rev. Tempus </w:t>
      </w:r>
      <w:proofErr w:type="spellStart"/>
      <w:r w:rsidRPr="002F6289">
        <w:rPr>
          <w:rFonts w:ascii="Times New Roman" w:eastAsia="Arial" w:hAnsi="Times New Roman" w:cs="Times New Roman"/>
          <w:b/>
          <w:sz w:val="24"/>
          <w:szCs w:val="24"/>
        </w:rPr>
        <w:t>Actas</w:t>
      </w:r>
      <w:proofErr w:type="spellEnd"/>
      <w:r w:rsidRPr="002F6289">
        <w:rPr>
          <w:rFonts w:ascii="Times New Roman" w:eastAsia="Arial" w:hAnsi="Times New Roman" w:cs="Times New Roman"/>
          <w:b/>
          <w:sz w:val="24"/>
          <w:szCs w:val="24"/>
        </w:rPr>
        <w:t xml:space="preserve"> de saúde coletiva</w:t>
      </w:r>
      <w:r w:rsidRPr="002F6289">
        <w:rPr>
          <w:rFonts w:ascii="Times New Roman" w:eastAsia="Arial" w:hAnsi="Times New Roman" w:cs="Times New Roman"/>
          <w:sz w:val="24"/>
          <w:szCs w:val="24"/>
        </w:rPr>
        <w:t>, Brasília, 2017.</w:t>
      </w:r>
    </w:p>
    <w:p w14:paraId="6FE69695" w14:textId="77777777" w:rsidR="00986DE4" w:rsidRPr="002F6289" w:rsidRDefault="009409A3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62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HANAUER, O. F. D.; HEMMI, A. P. </w:t>
      </w:r>
      <w:proofErr w:type="gramStart"/>
      <w:r w:rsidRPr="002F6289">
        <w:rPr>
          <w:rFonts w:ascii="Times New Roman" w:eastAsia="Times New Roman" w:hAnsi="Times New Roman" w:cs="Times New Roman"/>
          <w:sz w:val="24"/>
          <w:szCs w:val="24"/>
          <w:lang w:eastAsia="pt-BR"/>
        </w:rPr>
        <w:t>A..</w:t>
      </w:r>
      <w:proofErr w:type="gramEnd"/>
      <w:r w:rsidRPr="002F62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Caminhos percorridos por transexuais: em busca pela transição de gênero. </w:t>
      </w:r>
      <w:r w:rsidRPr="002F62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Saúde em Debate</w:t>
      </w:r>
      <w:r w:rsidRPr="002F6289">
        <w:rPr>
          <w:rFonts w:ascii="Times New Roman" w:eastAsia="Times New Roman" w:hAnsi="Times New Roman" w:cs="Times New Roman"/>
          <w:sz w:val="24"/>
          <w:szCs w:val="24"/>
          <w:lang w:eastAsia="pt-BR"/>
        </w:rPr>
        <w:t>, v. 43, n. spe8, p. 91–106, 2019</w:t>
      </w:r>
    </w:p>
    <w:p w14:paraId="7C2BD241" w14:textId="77777777" w:rsidR="00986DE4" w:rsidRPr="002F6289" w:rsidRDefault="009409A3">
      <w:pPr>
        <w:shd w:val="clear" w:color="auto" w:fill="FFFFFF" w:themeFill="background1"/>
        <w:spacing w:after="24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6289">
        <w:rPr>
          <w:rFonts w:ascii="Times New Roman" w:hAnsi="Times New Roman" w:cs="Times New Roman"/>
          <w:color w:val="000000"/>
          <w:sz w:val="24"/>
          <w:szCs w:val="24"/>
        </w:rPr>
        <w:t xml:space="preserve">KNEZEVICH, E. L.; VIERECK, L. K.; DRINCIC, A. T. Medical Management </w:t>
      </w:r>
      <w:proofErr w:type="spellStart"/>
      <w:r w:rsidRPr="002F6289">
        <w:rPr>
          <w:rFonts w:ascii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2F62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F6289">
        <w:rPr>
          <w:rFonts w:ascii="Times New Roman" w:hAnsi="Times New Roman" w:cs="Times New Roman"/>
          <w:color w:val="000000"/>
          <w:sz w:val="24"/>
          <w:szCs w:val="24"/>
        </w:rPr>
        <w:t>Adult</w:t>
      </w:r>
      <w:proofErr w:type="spellEnd"/>
      <w:r w:rsidRPr="002F62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F6289">
        <w:rPr>
          <w:rFonts w:ascii="Times New Roman" w:hAnsi="Times New Roman" w:cs="Times New Roman"/>
          <w:color w:val="000000"/>
          <w:sz w:val="24"/>
          <w:szCs w:val="24"/>
        </w:rPr>
        <w:t>Transsexual</w:t>
      </w:r>
      <w:proofErr w:type="spellEnd"/>
      <w:r w:rsidRPr="002F62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F6289">
        <w:rPr>
          <w:rFonts w:ascii="Times New Roman" w:hAnsi="Times New Roman" w:cs="Times New Roman"/>
          <w:color w:val="000000"/>
          <w:sz w:val="24"/>
          <w:szCs w:val="24"/>
        </w:rPr>
        <w:t>Persons</w:t>
      </w:r>
      <w:proofErr w:type="spellEnd"/>
      <w:r w:rsidRPr="002F6289">
        <w:rPr>
          <w:rFonts w:ascii="Times New Roman" w:hAnsi="Times New Roman" w:cs="Times New Roman"/>
          <w:color w:val="000000"/>
          <w:sz w:val="24"/>
          <w:szCs w:val="24"/>
        </w:rPr>
        <w:t>. </w:t>
      </w:r>
      <w:proofErr w:type="spellStart"/>
      <w:r w:rsidRPr="002F6289">
        <w:rPr>
          <w:rFonts w:ascii="Times New Roman" w:hAnsi="Times New Roman" w:cs="Times New Roman"/>
          <w:b/>
          <w:color w:val="000000"/>
          <w:sz w:val="24"/>
          <w:szCs w:val="24"/>
        </w:rPr>
        <w:t>Pharmacotherapy</w:t>
      </w:r>
      <w:proofErr w:type="spellEnd"/>
      <w:r w:rsidRPr="002F62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The </w:t>
      </w:r>
      <w:proofErr w:type="spellStart"/>
      <w:r w:rsidRPr="002F6289">
        <w:rPr>
          <w:rFonts w:ascii="Times New Roman" w:hAnsi="Times New Roman" w:cs="Times New Roman"/>
          <w:b/>
          <w:color w:val="000000"/>
          <w:sz w:val="24"/>
          <w:szCs w:val="24"/>
        </w:rPr>
        <w:t>Journal</w:t>
      </w:r>
      <w:proofErr w:type="spellEnd"/>
      <w:r w:rsidRPr="002F62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F6289">
        <w:rPr>
          <w:rFonts w:ascii="Times New Roman" w:hAnsi="Times New Roman" w:cs="Times New Roman"/>
          <w:b/>
          <w:color w:val="000000"/>
          <w:sz w:val="24"/>
          <w:szCs w:val="24"/>
        </w:rPr>
        <w:t>of</w:t>
      </w:r>
      <w:proofErr w:type="spellEnd"/>
      <w:r w:rsidRPr="002F62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F6289">
        <w:rPr>
          <w:rFonts w:ascii="Times New Roman" w:hAnsi="Times New Roman" w:cs="Times New Roman"/>
          <w:b/>
          <w:color w:val="000000"/>
          <w:sz w:val="24"/>
          <w:szCs w:val="24"/>
        </w:rPr>
        <w:t>Human</w:t>
      </w:r>
      <w:proofErr w:type="spellEnd"/>
      <w:r w:rsidRPr="002F62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F6289">
        <w:rPr>
          <w:rFonts w:ascii="Times New Roman" w:hAnsi="Times New Roman" w:cs="Times New Roman"/>
          <w:b/>
          <w:color w:val="000000"/>
          <w:sz w:val="24"/>
          <w:szCs w:val="24"/>
        </w:rPr>
        <w:t>Pharmacology</w:t>
      </w:r>
      <w:proofErr w:type="spellEnd"/>
      <w:r w:rsidRPr="002F62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F6289">
        <w:rPr>
          <w:rFonts w:ascii="Times New Roman" w:hAnsi="Times New Roman" w:cs="Times New Roman"/>
          <w:b/>
          <w:color w:val="000000"/>
          <w:sz w:val="24"/>
          <w:szCs w:val="24"/>
        </w:rPr>
        <w:t>and</w:t>
      </w:r>
      <w:proofErr w:type="spellEnd"/>
      <w:r w:rsidRPr="002F62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F6289">
        <w:rPr>
          <w:rFonts w:ascii="Times New Roman" w:hAnsi="Times New Roman" w:cs="Times New Roman"/>
          <w:b/>
          <w:color w:val="000000"/>
          <w:sz w:val="24"/>
          <w:szCs w:val="24"/>
        </w:rPr>
        <w:t>Drug</w:t>
      </w:r>
      <w:proofErr w:type="spellEnd"/>
      <w:r w:rsidRPr="002F62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F6289">
        <w:rPr>
          <w:rFonts w:ascii="Times New Roman" w:hAnsi="Times New Roman" w:cs="Times New Roman"/>
          <w:b/>
          <w:color w:val="000000"/>
          <w:sz w:val="24"/>
          <w:szCs w:val="24"/>
        </w:rPr>
        <w:t>Therapy</w:t>
      </w:r>
      <w:proofErr w:type="spellEnd"/>
      <w:r w:rsidRPr="002F6289">
        <w:rPr>
          <w:rFonts w:ascii="Times New Roman" w:hAnsi="Times New Roman" w:cs="Times New Roman"/>
          <w:color w:val="000000"/>
          <w:sz w:val="24"/>
          <w:szCs w:val="24"/>
        </w:rPr>
        <w:t>, v. 32, n. 1, p. 54–66, jan. 2012.</w:t>
      </w:r>
    </w:p>
    <w:p w14:paraId="382DF8D5" w14:textId="77777777" w:rsidR="00986DE4" w:rsidRPr="002F6289" w:rsidRDefault="009409A3">
      <w:pPr>
        <w:shd w:val="clear" w:color="auto" w:fill="FFFFFF" w:themeFill="background1"/>
        <w:spacing w:after="24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2F6289">
        <w:rPr>
          <w:rFonts w:ascii="Times New Roman" w:eastAsia="Arial" w:hAnsi="Times New Roman" w:cs="Times New Roman"/>
          <w:sz w:val="24"/>
          <w:szCs w:val="24"/>
        </w:rPr>
        <w:t xml:space="preserve">KRÜGER, A. </w:t>
      </w:r>
      <w:r w:rsidRPr="002F6289">
        <w:rPr>
          <w:rFonts w:ascii="Times New Roman" w:eastAsia="Arial" w:hAnsi="Times New Roman" w:cs="Times New Roman"/>
          <w:i/>
          <w:sz w:val="24"/>
          <w:szCs w:val="24"/>
        </w:rPr>
        <w:t>et al.</w:t>
      </w:r>
      <w:r w:rsidRPr="002F628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2F6289">
        <w:rPr>
          <w:rFonts w:ascii="Times New Roman" w:eastAsia="Arial" w:hAnsi="Times New Roman" w:cs="Times New Roman"/>
          <w:b/>
          <w:sz w:val="24"/>
          <w:szCs w:val="24"/>
        </w:rPr>
        <w:t>Guia do cuidado farmacêutico para a comunidade LGBTI+</w:t>
      </w:r>
      <w:r w:rsidRPr="002F6289">
        <w:rPr>
          <w:rFonts w:ascii="Times New Roman" w:eastAsia="Arial" w:hAnsi="Times New Roman" w:cs="Times New Roman"/>
          <w:sz w:val="24"/>
          <w:szCs w:val="24"/>
        </w:rPr>
        <w:t>. CRF-BA, 2021.Disponível em:&lt;https://portais.univasf.edu.br/noticias/guia-do-cuidado-</w:t>
      </w:r>
      <w:r w:rsidRPr="002F6289">
        <w:rPr>
          <w:rFonts w:ascii="Times New Roman" w:eastAsia="Arial" w:hAnsi="Times New Roman" w:cs="Times New Roman"/>
          <w:sz w:val="24"/>
          <w:szCs w:val="24"/>
        </w:rPr>
        <w:lastRenderedPageBreak/>
        <w:t>farmaceutico-para-a-comunidade-lgbti-orienta-profissionais-de-farmacia-sobre-atendimento-humanizado/guia.pdf&gt; Acesso em: 06 de set. de 2022.</w:t>
      </w:r>
    </w:p>
    <w:p w14:paraId="56AFC889" w14:textId="77777777" w:rsidR="00986DE4" w:rsidRPr="002F6289" w:rsidRDefault="009409A3">
      <w:pPr>
        <w:shd w:val="clear" w:color="auto" w:fill="FFFFFF" w:themeFill="background1"/>
        <w:spacing w:after="240" w:line="240" w:lineRule="auto"/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</w:pPr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 xml:space="preserve">KRÜGER, </w:t>
      </w:r>
      <w:proofErr w:type="spellStart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>Alícia</w:t>
      </w:r>
      <w:proofErr w:type="spellEnd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 xml:space="preserve">; SPERANDEI, Sandro; BERMUDEZ, Ximena Pamela Claudia Diaz; MERCHÁN-HAMANN, Edgar. </w:t>
      </w:r>
      <w:proofErr w:type="spellStart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>Characteristics</w:t>
      </w:r>
      <w:proofErr w:type="spellEnd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>of</w:t>
      </w:r>
      <w:proofErr w:type="spellEnd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>hormone</w:t>
      </w:r>
      <w:proofErr w:type="spellEnd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 xml:space="preserve"> use </w:t>
      </w:r>
      <w:proofErr w:type="spellStart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>by</w:t>
      </w:r>
      <w:proofErr w:type="spellEnd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 xml:space="preserve"> travestis </w:t>
      </w:r>
      <w:proofErr w:type="spellStart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>and</w:t>
      </w:r>
      <w:proofErr w:type="spellEnd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>transgender</w:t>
      </w:r>
      <w:proofErr w:type="spellEnd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>women</w:t>
      </w:r>
      <w:proofErr w:type="spellEnd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>of</w:t>
      </w:r>
      <w:proofErr w:type="spellEnd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>the</w:t>
      </w:r>
      <w:proofErr w:type="spellEnd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>Brazilian</w:t>
      </w:r>
      <w:proofErr w:type="spellEnd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 xml:space="preserve"> Federal </w:t>
      </w:r>
      <w:proofErr w:type="spellStart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>District</w:t>
      </w:r>
      <w:proofErr w:type="spellEnd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>. </w:t>
      </w:r>
      <w:r w:rsidRPr="002F6289">
        <w:rPr>
          <w:rStyle w:val="Forte"/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>Revista Brasileira de Epidemiologia</w:t>
      </w:r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 xml:space="preserve">, [S.L.], v. 22, n. 1, 2019. </w:t>
      </w:r>
      <w:proofErr w:type="spellStart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>FapUNIFESP</w:t>
      </w:r>
      <w:proofErr w:type="spellEnd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 xml:space="preserve"> (</w:t>
      </w:r>
      <w:proofErr w:type="spellStart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>SciELO</w:t>
      </w:r>
      <w:proofErr w:type="spellEnd"/>
      <w:r w:rsidRPr="002F6289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>). http://dx.doi.org/10.1590/1980-549720190004.supl.1</w:t>
      </w:r>
    </w:p>
    <w:p w14:paraId="30AD22B6" w14:textId="77777777" w:rsidR="00986DE4" w:rsidRPr="002F6289" w:rsidRDefault="009409A3">
      <w:pPr>
        <w:shd w:val="clear" w:color="auto" w:fill="FFFFFF" w:themeFill="background1"/>
        <w:spacing w:after="24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2F6289">
        <w:rPr>
          <w:rFonts w:ascii="Times New Roman" w:eastAsia="Arial" w:hAnsi="Times New Roman" w:cs="Times New Roman"/>
          <w:sz w:val="24"/>
          <w:szCs w:val="24"/>
        </w:rPr>
        <w:t xml:space="preserve">RONCON, P. C., Sodré F, Rodrigues A, Barros MEB </w:t>
      </w:r>
      <w:proofErr w:type="gramStart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de,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Wandekoken</w:t>
      </w:r>
      <w:proofErr w:type="spellEnd"/>
      <w:proofErr w:type="gram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KD. Desafios enfrentados por pessoas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trans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para acessar o processo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transexualizador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do Sistema Único de Saúde. </w:t>
      </w:r>
      <w:r w:rsidRPr="002F6289">
        <w:rPr>
          <w:rFonts w:ascii="Times New Roman" w:eastAsia="Arial" w:hAnsi="Times New Roman" w:cs="Times New Roman"/>
          <w:b/>
          <w:sz w:val="24"/>
          <w:szCs w:val="24"/>
        </w:rPr>
        <w:t>Interface - Comunicação, Saúde, Educação</w:t>
      </w:r>
      <w:r w:rsidRPr="002F6289">
        <w:rPr>
          <w:rFonts w:ascii="Times New Roman" w:eastAsia="Arial" w:hAnsi="Times New Roman" w:cs="Times New Roman"/>
          <w:sz w:val="24"/>
          <w:szCs w:val="24"/>
        </w:rPr>
        <w:t>, v. 23, p. e180633, 2019.</w:t>
      </w:r>
    </w:p>
    <w:p w14:paraId="7D196C04" w14:textId="77777777" w:rsidR="00986DE4" w:rsidRPr="002F6289" w:rsidRDefault="009409A3">
      <w:pPr>
        <w:shd w:val="clear" w:color="auto" w:fill="FFFFFF" w:themeFill="background1"/>
        <w:spacing w:after="24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2F6289">
        <w:rPr>
          <w:rFonts w:ascii="Times New Roman" w:eastAsia="Arial" w:hAnsi="Times New Roman" w:cs="Times New Roman"/>
          <w:sz w:val="24"/>
          <w:szCs w:val="24"/>
        </w:rPr>
        <w:t xml:space="preserve">Silva ACA, Alcântara AM, Oliveira DC,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Signorelli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 MC. Implementação da Política Nacional de Saúde Integral de Lésbicas, Gays, Bissexuais, Travestis e Transexuais (PNSI LGBT) no Paraná, Brasil. </w:t>
      </w:r>
      <w:r w:rsidRPr="002F6289">
        <w:rPr>
          <w:rFonts w:ascii="Times New Roman" w:eastAsia="Arial" w:hAnsi="Times New Roman" w:cs="Times New Roman"/>
          <w:b/>
          <w:sz w:val="24"/>
          <w:szCs w:val="24"/>
        </w:rPr>
        <w:t>Interface</w:t>
      </w:r>
      <w:r w:rsidRPr="002F6289">
        <w:rPr>
          <w:rFonts w:ascii="Times New Roman" w:eastAsia="Arial" w:hAnsi="Times New Roman" w:cs="Times New Roman"/>
          <w:sz w:val="24"/>
          <w:szCs w:val="24"/>
        </w:rPr>
        <w:t xml:space="preserve">. 2020;24, e190568. </w:t>
      </w:r>
      <w:proofErr w:type="spellStart"/>
      <w:r w:rsidRPr="002F6289">
        <w:rPr>
          <w:rFonts w:ascii="Times New Roman" w:eastAsia="Arial" w:hAnsi="Times New Roman" w:cs="Times New Roman"/>
          <w:sz w:val="24"/>
          <w:szCs w:val="24"/>
        </w:rPr>
        <w:t>doi</w:t>
      </w:r>
      <w:proofErr w:type="spellEnd"/>
      <w:r w:rsidRPr="002F6289">
        <w:rPr>
          <w:rFonts w:ascii="Times New Roman" w:eastAsia="Arial" w:hAnsi="Times New Roman" w:cs="Times New Roman"/>
          <w:sz w:val="24"/>
          <w:szCs w:val="24"/>
        </w:rPr>
        <w:t xml:space="preserve">: 10.1590/Interface.190568 </w:t>
      </w:r>
    </w:p>
    <w:p w14:paraId="5351D5BB" w14:textId="77777777" w:rsidR="00986DE4" w:rsidRPr="002F6289" w:rsidRDefault="009409A3">
      <w:pPr>
        <w:shd w:val="clear" w:color="auto" w:fill="FFFFFF" w:themeFill="background1"/>
        <w:spacing w:after="24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2F62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SILVA, Ricardo Araújo da; SILVA, Luís Augusto Vasconcelos da; SOARES, Fabiane; DOURADO, Inês. Uso de hormônios não prescritos na modificação corporal de travestis e mulheres transexuais de Salvador/Bahia, Brasil. </w:t>
      </w:r>
      <w:r w:rsidRPr="002F6289">
        <w:rPr>
          <w:rStyle w:val="Fort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Ciência &amp; Saúde Coletiva</w:t>
      </w:r>
      <w:r w:rsidRPr="002F62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[S.L.], v. 27, n. 2, p. 503-514, fev. 2022. </w:t>
      </w:r>
      <w:proofErr w:type="spellStart"/>
      <w:r w:rsidRPr="002F62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FapUNIFESP</w:t>
      </w:r>
      <w:proofErr w:type="spellEnd"/>
      <w:r w:rsidRPr="002F62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</w:t>
      </w:r>
      <w:proofErr w:type="spellStart"/>
      <w:r w:rsidRPr="002F62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SciELO</w:t>
      </w:r>
      <w:proofErr w:type="spellEnd"/>
      <w:r w:rsidRPr="002F62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). http://dx.doi.org/10.1590/1413-81232022272.44342020.</w:t>
      </w:r>
      <w:r w:rsidRPr="002F6289">
        <w:rPr>
          <w:rFonts w:ascii="Times New Roman" w:eastAsia="Arial" w:hAnsi="Times New Roman" w:cs="Times New Roman"/>
          <w:sz w:val="24"/>
          <w:szCs w:val="24"/>
        </w:rPr>
        <w:t xml:space="preserve">          </w:t>
      </w:r>
    </w:p>
    <w:p w14:paraId="05813F94" w14:textId="77777777" w:rsidR="00986DE4" w:rsidRPr="002F6289" w:rsidRDefault="00986DE4">
      <w:pPr>
        <w:spacing w:after="0"/>
        <w:rPr>
          <w:rFonts w:ascii="Times New Roman" w:eastAsia="Arial" w:hAnsi="Times New Roman" w:cs="Times New Roman"/>
          <w:sz w:val="24"/>
          <w:szCs w:val="24"/>
          <w:highlight w:val="white"/>
        </w:rPr>
      </w:pPr>
    </w:p>
    <w:sectPr w:rsidR="00986DE4" w:rsidRPr="002F6289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24DFF7" w14:textId="77777777" w:rsidR="009409A3" w:rsidRDefault="009409A3">
      <w:pPr>
        <w:spacing w:line="240" w:lineRule="auto"/>
      </w:pPr>
      <w:r>
        <w:separator/>
      </w:r>
    </w:p>
  </w:endnote>
  <w:endnote w:type="continuationSeparator" w:id="0">
    <w:p w14:paraId="13EC9D85" w14:textId="77777777" w:rsidR="009409A3" w:rsidRDefault="009409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Liberation Mono"/>
    <w:panose1 w:val="02000000000000000000"/>
    <w:charset w:val="00"/>
    <w:family w:val="auto"/>
    <w:pitch w:val="default"/>
    <w:sig w:usb0="00000000" w:usb1="00000000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3A6EED" w14:textId="77777777" w:rsidR="009409A3" w:rsidRDefault="009409A3">
      <w:pPr>
        <w:spacing w:after="0"/>
      </w:pPr>
      <w:r>
        <w:separator/>
      </w:r>
    </w:p>
  </w:footnote>
  <w:footnote w:type="continuationSeparator" w:id="0">
    <w:p w14:paraId="37753895" w14:textId="77777777" w:rsidR="009409A3" w:rsidRDefault="009409A3">
      <w:pPr>
        <w:spacing w:after="0"/>
      </w:pPr>
      <w:r>
        <w:continuationSeparator/>
      </w:r>
    </w:p>
  </w:footnote>
  <w:footnote w:id="1">
    <w:p w14:paraId="6C007477" w14:textId="2759E2C4" w:rsidR="00E523CE" w:rsidRDefault="00E523CE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E523CE">
        <w:t>Centro Universitário Brasileiro -</w:t>
      </w:r>
      <w:proofErr w:type="spellStart"/>
      <w:r w:rsidRPr="00E523CE">
        <w:t>Unibra</w:t>
      </w:r>
      <w:proofErr w:type="spellEnd"/>
      <w:r>
        <w:t>.</w:t>
      </w:r>
    </w:p>
  </w:footnote>
  <w:footnote w:id="2">
    <w:p w14:paraId="1CFCE208" w14:textId="2CF99079" w:rsidR="00E523CE" w:rsidRDefault="00E523CE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E523CE">
        <w:t>Centro Universitário Brasileiro -</w:t>
      </w:r>
      <w:proofErr w:type="spellStart"/>
      <w:r w:rsidRPr="00E523CE">
        <w:t>Unibra</w:t>
      </w:r>
      <w:proofErr w:type="spellEnd"/>
      <w:r>
        <w:t>.</w:t>
      </w:r>
    </w:p>
  </w:footnote>
  <w:footnote w:id="3">
    <w:p w14:paraId="3D2F77CB" w14:textId="01F526CF" w:rsidR="00E523CE" w:rsidRDefault="00E523CE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E523CE">
        <w:t>UNIVERSIDADE FEDERAL DE PERNAMBUCO</w:t>
      </w:r>
      <w:r>
        <w:t>.</w:t>
      </w:r>
    </w:p>
  </w:footnote>
  <w:footnote w:id="4">
    <w:p w14:paraId="46024933" w14:textId="6967FF31" w:rsidR="00E523CE" w:rsidRDefault="00E523CE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E523CE">
        <w:t>Centro Universitário Brasileiro -</w:t>
      </w:r>
      <w:proofErr w:type="spellStart"/>
      <w:r w:rsidRPr="00E523CE">
        <w:t>Unibra</w:t>
      </w:r>
      <w:proofErr w:type="spellEnd"/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removePersonalInformation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165"/>
    <w:rsid w:val="00036396"/>
    <w:rsid w:val="000F66F7"/>
    <w:rsid w:val="001353F6"/>
    <w:rsid w:val="001364AC"/>
    <w:rsid w:val="00136787"/>
    <w:rsid w:val="0016161F"/>
    <w:rsid w:val="00163C9D"/>
    <w:rsid w:val="00164777"/>
    <w:rsid w:val="001A1F53"/>
    <w:rsid w:val="001B333C"/>
    <w:rsid w:val="00202FA0"/>
    <w:rsid w:val="00237399"/>
    <w:rsid w:val="002F53ED"/>
    <w:rsid w:val="002F6289"/>
    <w:rsid w:val="00302819"/>
    <w:rsid w:val="003078DF"/>
    <w:rsid w:val="0031582E"/>
    <w:rsid w:val="00322EEF"/>
    <w:rsid w:val="00351140"/>
    <w:rsid w:val="00381792"/>
    <w:rsid w:val="003A5363"/>
    <w:rsid w:val="003C45F9"/>
    <w:rsid w:val="00402E97"/>
    <w:rsid w:val="004202A3"/>
    <w:rsid w:val="004E4A9B"/>
    <w:rsid w:val="004F3094"/>
    <w:rsid w:val="00544B5E"/>
    <w:rsid w:val="00571C07"/>
    <w:rsid w:val="00590ECB"/>
    <w:rsid w:val="00654364"/>
    <w:rsid w:val="006A6165"/>
    <w:rsid w:val="006B62C0"/>
    <w:rsid w:val="00712A26"/>
    <w:rsid w:val="007471CA"/>
    <w:rsid w:val="007571F8"/>
    <w:rsid w:val="00787EE9"/>
    <w:rsid w:val="007C032F"/>
    <w:rsid w:val="0080383D"/>
    <w:rsid w:val="00820310"/>
    <w:rsid w:val="0086232B"/>
    <w:rsid w:val="008B0536"/>
    <w:rsid w:val="008B3C87"/>
    <w:rsid w:val="008D0092"/>
    <w:rsid w:val="008D7B14"/>
    <w:rsid w:val="008E3C3C"/>
    <w:rsid w:val="008F7BC7"/>
    <w:rsid w:val="009409A3"/>
    <w:rsid w:val="00950AF9"/>
    <w:rsid w:val="00986DE4"/>
    <w:rsid w:val="009C1686"/>
    <w:rsid w:val="009E31A0"/>
    <w:rsid w:val="00A4376C"/>
    <w:rsid w:val="00A56958"/>
    <w:rsid w:val="00A626E8"/>
    <w:rsid w:val="00A878D3"/>
    <w:rsid w:val="00AC48C6"/>
    <w:rsid w:val="00AD41D3"/>
    <w:rsid w:val="00AD66FA"/>
    <w:rsid w:val="00AD68FD"/>
    <w:rsid w:val="00AF78D0"/>
    <w:rsid w:val="00B05736"/>
    <w:rsid w:val="00B1438C"/>
    <w:rsid w:val="00B35278"/>
    <w:rsid w:val="00B379C1"/>
    <w:rsid w:val="00B41284"/>
    <w:rsid w:val="00B56789"/>
    <w:rsid w:val="00BA3096"/>
    <w:rsid w:val="00BA3930"/>
    <w:rsid w:val="00BD541A"/>
    <w:rsid w:val="00C01C13"/>
    <w:rsid w:val="00C10BB5"/>
    <w:rsid w:val="00CA2AC6"/>
    <w:rsid w:val="00CB3F89"/>
    <w:rsid w:val="00D20DDA"/>
    <w:rsid w:val="00D223AD"/>
    <w:rsid w:val="00D940CE"/>
    <w:rsid w:val="00DC3046"/>
    <w:rsid w:val="00DC5CDA"/>
    <w:rsid w:val="00DF1ACF"/>
    <w:rsid w:val="00E202F4"/>
    <w:rsid w:val="00E523CE"/>
    <w:rsid w:val="00EF5382"/>
    <w:rsid w:val="00F048B4"/>
    <w:rsid w:val="00F13FD7"/>
    <w:rsid w:val="00F71026"/>
    <w:rsid w:val="00F7236C"/>
    <w:rsid w:val="00F72F87"/>
    <w:rsid w:val="00FE2DEC"/>
    <w:rsid w:val="00FF0A5E"/>
    <w:rsid w:val="00FF38E4"/>
    <w:rsid w:val="05D8020B"/>
    <w:rsid w:val="37F1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441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Ttulo1">
    <w:name w:val="heading 1"/>
    <w:next w:val="Normal"/>
    <w:uiPriority w:val="9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Refdenotaderodap">
    <w:name w:val="footnote reference"/>
    <w:basedOn w:val="Fontepargpadro"/>
    <w:uiPriority w:val="99"/>
    <w:semiHidden/>
    <w:unhideWhenUsed/>
    <w:qFormat/>
    <w:rPr>
      <w:vertAlign w:val="superscript"/>
    </w:r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unhideWhenUsed/>
    <w:qFormat/>
    <w:pPr>
      <w:spacing w:after="0" w:line="240" w:lineRule="auto"/>
    </w:pPr>
    <w:rPr>
      <w:sz w:val="20"/>
      <w:szCs w:val="20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ref">
    <w:name w:val="ref"/>
    <w:basedOn w:val="Fontepargpadro"/>
  </w:style>
  <w:style w:type="character" w:customStyle="1" w:styleId="refctt">
    <w:name w:val="refctt"/>
    <w:basedOn w:val="Fontepargpadro"/>
    <w:qFormat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customStyle="1" w:styleId="Style10">
    <w:name w:val="_Style 10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Pr>
      <w:rFonts w:ascii="Calibri" w:eastAsia="Calibri" w:hAnsi="Calibri" w:cs="Calibri"/>
      <w:sz w:val="22"/>
      <w:szCs w:val="22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Pr>
      <w:rFonts w:ascii="Calibri" w:eastAsia="Calibri" w:hAnsi="Calibri" w:cs="Calibri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rFonts w:ascii="Calibri" w:eastAsia="Calibri" w:hAnsi="Calibri" w:cs="Calibri"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rFonts w:ascii="Calibri" w:eastAsia="Calibri" w:hAnsi="Calibri" w:cs="Calibri"/>
      <w:b/>
      <w:bCs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sms.saude.gov.br/bvs/publicacoes/transexualidade_travestilidade_saud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islacao.planalto.gov.br/legisla/legislacao.nsf/Viw_Identificacao/lei%2013.021-2014?OpenDocumen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bp.com.br/fileadmin/user_upload/19706c-GP_-_Disforia_de_Genero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291CD-164E-42C0-8BD5-3CCC27195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13</Pages>
  <Words>4415</Words>
  <Characters>23842</Characters>
  <Application>Microsoft Office Word</Application>
  <DocSecurity>0</DocSecurity>
  <Lines>198</Lines>
  <Paragraphs>56</Paragraphs>
  <ScaleCrop>false</ScaleCrop>
  <LinksUpToDate>false</LinksUpToDate>
  <CharactersWithSpaces>28201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2023-09-27T14:13:00Z</dcterms:created>
  <dcterms:modified xsi:type="dcterms:W3CDTF">2023-10-19T16:56:00Z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1046-12.2.0.13215</vt:lpwstr>
  </property>
  <property fmtid="{D5CDD505-2E9C-101B-9397-08002B2CF9AE}" pid="3" name="ICV">
    <vt:lpwstr>B35686EEEDF14485BC81C35E5F585734_12</vt:lpwstr>
  </property>
</Properties>
</file>